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基于周期边界自适应图连通判定与多目标进化优化的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微构体导电介质填充仿真研究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——PAGCM系列模型的构建与应用</w:t>
      </w:r>
    </w:p>
    <w:p>
      <w:pPr>
        <w:jc w:val="left"/>
      </w:pPr>
      <w:r>
        <w:rPr>
          <w:rFonts w:ascii="黑体" w:hAnsi="黑体" w:eastAsia="黑体"/>
          <w:b/>
          <w:sz w:val="28"/>
        </w:rPr>
        <w:t>摘要</w:t>
      </w:r>
    </w:p>
    <w:p>
      <w:pPr>
        <w:ind w:firstLine="480"/>
      </w:pPr>
      <w:r>
        <w:rPr>
          <w:rFonts w:ascii="宋体" w:hAnsi="宋体" w:eastAsia="宋体"/>
          <w:sz w:val="24"/>
        </w:rPr>
        <w:t>随着复合材料在电子封装、航空航天等领域的广泛应用，导电填料在聚合物基体中的逾渗行为成为材料设计的核心问题。本文针对"微构体中填充导电介质的仿真优化"问题，构建了以周期边界自适应图连通判定模型(PAGCM)为核心的系列模型体系，系统解决了导电填料微构体的连通判定、配方优化、敏感性分析和多目标工程设计四类递进问题。</w:t>
        <w:br/>
        <w:br/>
        <w:t>针对问题一(连通判定)，构建PAGCM模型：将粒子系统抽象为三维环面上的无向图，提出密度感知自适应等效半径替代传统固定接触判据，利用环面距离处理周期边界条件，通过并查集实现O(N·alpha(N))连通分量识别。与标准几何渗流模型(GPNM)的交叉验证表明，PAGCM在18个判定中检出率提升11.1%，且88.9%的判定完全一致，验证了模型的有效性。</w:t>
        <w:br/>
        <w:br/>
        <w:t>针对问题二(单目标优化)，提出MESA-PAGCM模型：创新性地将信息论最大熵原理迁移至粒子空间初始化，将统计物理模拟退火(SA)迁移至填料排布全局搜索，结合PAGCM作为快速评估器，实现对最小导电填料用量的优化求解。搜索范围为[664,13290]粒子。</w:t>
        <w:br/>
        <w:br/>
        <w:t>针对问题三(敏感性分析)，提出MS-PAGCM模型：在PAGCM架构上进行三层算法升级——引入多分散粒径分布、采用Hammersley低差异序列驱动的Sobol全局敏感性分析、建立微观-介观-宏观三尺度方差分解框架。结果表明平均粒径mu_r(ST=1.000)和粒径变异系数CV_r(ST=0.960)是影响导电性最关键的两个因素，OAT与Sobol方法的排名差异验证了全局敏感性分析的必要性。</w:t>
        <w:br/>
        <w:br/>
        <w:t>针对问题四(多目标优化)，提出MOEA/D-PAGCM模型：融合PAGCM物理评估引擎、MOEA/D多目标进化算法和TOPSIS+熵权法客观决策推荐，同时优化导电性、成本、重量和力学性能四个冲突目标。Pareto前沿包含24个非支配解，TOPSIS推荐方案为N=206粒子、P_conn=90.86%。</w:t>
        <w:br/>
        <w:br/>
        <w:t>本文构建的PAGCM系列模型形成了一个从"分析-优化-敏感-设计"的完整方法链，为导电复合材料微结构设计提供了理论支撑和计算工具。</w:t>
      </w:r>
    </w:p>
    <w:p>
      <w:r>
        <w:rPr>
          <w:rFonts w:ascii="宋体" w:hAnsi="宋体" w:eastAsia="宋体"/>
          <w:sz w:val="24"/>
        </w:rPr>
        <w:t>关键词：周期边界图连通模型；导电逾渗；Sobol敏感性分析；多目标进化优化；微构体仿真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一、问题重述</w:t>
      </w:r>
    </w:p>
    <w:p>
      <w:pPr>
        <w:ind w:firstLine="480"/>
      </w:pPr>
      <w:r>
        <w:rPr>
          <w:rFonts w:ascii="宋体" w:hAnsi="宋体" w:eastAsia="宋体"/>
          <w:sz w:val="24"/>
        </w:rPr>
        <w:t>1.1 问题背景</w:t>
      </w:r>
    </w:p>
    <w:p>
      <w:pPr>
        <w:ind w:firstLine="480"/>
      </w:pPr>
      <w:r>
        <w:rPr>
          <w:rFonts w:ascii="宋体" w:hAnsi="宋体" w:eastAsia="宋体"/>
          <w:sz w:val="24"/>
        </w:rPr>
        <w:t>导电高分子复合材料通过将导电填料分散在绝缘聚合物基体中，实现材料从绝缘体到导体的转变。这种转变的本质是逾渗现象——当填料体积分数超过临界值时，填料粒子相互接触形成贯穿整个材料的导电网络。在微构体仿真中，代表性体积单元(RVE)是连接微观粒子排布与宏观导电性能的桥梁，周期边界条件(PBC)是RVE方法的标准假设，但其引入的边界周期性使得粒子连通判定复杂化。如何以最少的填料用量实现目标导电性、如何量化各因素对导电性的影响权重、如何同时兼顾导电性、成本、重量和力学性能，构成了从基础分析到工程应用的四层递进问题。</w:t>
      </w:r>
    </w:p>
    <w:p>
      <w:pPr>
        <w:ind w:firstLine="480"/>
      </w:pPr>
      <w:r>
        <w:rPr>
          <w:rFonts w:ascii="宋体" w:hAnsi="宋体" w:eastAsia="宋体"/>
          <w:sz w:val="24"/>
        </w:rPr>
        <w:t>1.2 问题重述</w:t>
      </w:r>
    </w:p>
    <w:p>
      <w:pPr>
        <w:ind w:firstLine="480"/>
      </w:pPr>
      <w:r>
        <w:rPr>
          <w:rFonts w:ascii="宋体" w:hAnsi="宋体" w:eastAsia="宋体"/>
          <w:sz w:val="24"/>
        </w:rPr>
        <w:t>问题一(连通判定)：给定微构体导电填料的三维空间坐标，在考虑RVE周期边界条件的前提下，判定X/Y/Z三方向是否存在贯穿导电通路。</w:t>
      </w:r>
    </w:p>
    <w:p>
      <w:pPr>
        <w:ind w:firstLine="480"/>
      </w:pPr>
      <w:r>
        <w:rPr>
          <w:rFonts w:ascii="宋体" w:hAnsi="宋体" w:eastAsia="宋体"/>
          <w:sz w:val="24"/>
        </w:rPr>
        <w:t>问题二(配方优化)：在满足方向性导电约束(P_conn&gt;=95%)的前提下，求解最小填料用量及对应的最优空间排布。</w:t>
      </w:r>
    </w:p>
    <w:p>
      <w:pPr>
        <w:ind w:firstLine="480"/>
      </w:pPr>
      <w:r>
        <w:rPr>
          <w:rFonts w:ascii="宋体" w:hAnsi="宋体" w:eastAsia="宋体"/>
          <w:sz w:val="24"/>
        </w:rPr>
        <w:t>问题三(敏感性分析)：量化粒径分布、形状因子、排布策略和填充率等多因素对导电性的独立贡献与交互效应。</w:t>
      </w:r>
    </w:p>
    <w:p>
      <w:pPr>
        <w:ind w:firstLine="480"/>
      </w:pPr>
      <w:r>
        <w:rPr>
          <w:rFonts w:ascii="宋体" w:hAnsi="宋体" w:eastAsia="宋体"/>
          <w:sz w:val="24"/>
        </w:rPr>
        <w:t>问题四(多目标设计)：同时优化导电性、材料成本、重量和力学性能四个天然冲突的目标。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二、问题分析</w:t>
      </w:r>
    </w:p>
    <w:p>
      <w:pPr>
        <w:ind w:firstLine="480"/>
      </w:pPr>
      <w:r>
        <w:rPr>
          <w:rFonts w:ascii="宋体" w:hAnsi="宋体" w:eastAsia="宋体"/>
          <w:sz w:val="24"/>
        </w:rPr>
        <w:t>2.1 整体分析思路</w:t>
      </w:r>
    </w:p>
    <w:p>
      <w:pPr>
        <w:ind w:firstLine="480"/>
      </w:pPr>
      <w:r>
        <w:rPr>
          <w:rFonts w:ascii="宋体" w:hAnsi="宋体" w:eastAsia="宋体"/>
          <w:sz w:val="24"/>
        </w:rPr>
        <w:t>四个问题呈递进关系，形成"分析-优化-敏感-设计"的完整方法链。问题一建立基础连通判定工具(PAGCM)，后续三个问题均以PAGCM为核心评估器进行扩展：问题二在外层叠加优化框架(MESA)，问题三升级为多参数敏感性分析工具(MS)，问题四融合为多目标工程设计平台(MOEA/D)。整体技术路线如图1所示。</w:t>
      </w:r>
    </w:p>
    <w:p>
      <w:pPr>
        <w:ind w:firstLine="480"/>
      </w:pPr>
      <w:r>
        <w:rPr>
          <w:rFonts w:ascii="宋体" w:hAnsi="宋体" w:eastAsia="宋体"/>
          <w:sz w:val="24"/>
        </w:rPr>
        <w:t>2.2 问题一分析</w:t>
      </w:r>
    </w:p>
    <w:p>
      <w:pPr>
        <w:ind w:firstLine="480"/>
      </w:pPr>
      <w:r>
        <w:rPr>
          <w:rFonts w:ascii="宋体" w:hAnsi="宋体" w:eastAsia="宋体"/>
          <w:sz w:val="24"/>
        </w:rPr>
        <w:t>核心矛盾：传统几何逾渗模型使用固定接触半径判据，忽略了粒子局部密度差异对有效连接范围的影响。同时周期边界使简单的欧氏距离失效。解题思路：将粒子系统映射为定义在三维环面T^3上的无向图，提出密度感知的自适应等效半径，通过环面距离度量处理周期边界，利用并查集实现高效连通分量识别。</w:t>
      </w:r>
    </w:p>
    <w:p>
      <w:pPr>
        <w:ind w:firstLine="480"/>
      </w:pPr>
      <w:r>
        <w:rPr>
          <w:rFonts w:ascii="宋体" w:hAnsi="宋体" w:eastAsia="宋体"/>
          <w:sz w:val="24"/>
        </w:rPr>
        <w:t>2.3 问题二分析</w:t>
      </w:r>
    </w:p>
    <w:p>
      <w:pPr>
        <w:ind w:firstLine="480"/>
      </w:pPr>
      <w:r>
        <w:rPr>
          <w:rFonts w:ascii="宋体" w:hAnsi="宋体" w:eastAsia="宋体"/>
          <w:sz w:val="24"/>
        </w:rPr>
        <w:t>核心矛盾：目标函数中的P_conn由PAGCM评估——无解析形式、不可微、非凸。梯度法不可用，枚举法面对高维混合搜索空间不可行。解题思路：采用模拟退火(SA)利用其概率接受机制克服非凸性；从信息论引入最大熵原理生成高质量初始排布。</w:t>
      </w:r>
    </w:p>
    <w:p>
      <w:pPr>
        <w:ind w:firstLine="480"/>
      </w:pPr>
      <w:r>
        <w:rPr>
          <w:rFonts w:ascii="宋体" w:hAnsi="宋体" w:eastAsia="宋体"/>
          <w:sz w:val="24"/>
        </w:rPr>
        <w:t>2.4 问题三分析</w:t>
      </w:r>
    </w:p>
    <w:p>
      <w:pPr>
        <w:ind w:firstLine="480"/>
      </w:pPr>
      <w:r>
        <w:rPr>
          <w:rFonts w:ascii="宋体" w:hAnsi="宋体" w:eastAsia="宋体"/>
          <w:sz w:val="24"/>
        </w:rPr>
        <w:t>核心矛盾：传统OAT局部敏感性忽略参数交互效应。全局方法(如Sobol)需要大量样本收敛。解题思路：采用Hammersley低差异序列高效采样，基于Sobol方差分解量化独立贡献和总贡献，Bootstrap重采样评估统计显著性。</w:t>
      </w:r>
    </w:p>
    <w:p>
      <w:pPr>
        <w:ind w:firstLine="480"/>
      </w:pPr>
      <w:r>
        <w:rPr>
          <w:rFonts w:ascii="宋体" w:hAnsi="宋体" w:eastAsia="宋体"/>
          <w:sz w:val="24"/>
        </w:rPr>
        <w:t>2.5 问题四分析</w:t>
      </w:r>
    </w:p>
    <w:p>
      <w:pPr>
        <w:ind w:firstLine="480"/>
      </w:pPr>
      <w:r>
        <w:rPr>
          <w:rFonts w:ascii="宋体" w:hAnsi="宋体" w:eastAsia="宋体"/>
          <w:sz w:val="24"/>
        </w:rPr>
        <w:t>核心矛盾：导电性、成本、重量、力学四个目标天然冲突——无法同时最优。传统加权求和仅得单点。解题思路：采用MOEA/D将多目标分解为N_pop个标量子问题并行求解，覆盖完整Pareto前沿；TOPSIS+熵权法客观推荐。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三、模型假设</w:t>
      </w:r>
    </w:p>
    <w:p>
      <w:pPr>
        <w:ind w:firstLine="480"/>
      </w:pPr>
      <w:r>
        <w:rPr>
          <w:rFonts w:ascii="宋体" w:hAnsi="宋体" w:eastAsia="宋体"/>
          <w:sz w:val="24"/>
        </w:rPr>
        <w:t>(假设1：粒子球形假设) 粒子球形假设</w:t>
      </w:r>
    </w:p>
    <w:p>
      <w:pPr>
        <w:ind w:firstLine="480"/>
      </w:pPr>
      <w:r>
        <w:rPr>
          <w:rFonts w:ascii="宋体" w:hAnsi="宋体" w:eastAsia="宋体"/>
          <w:sz w:val="24"/>
        </w:rPr>
        <w:t>设立依据：题目未给出形状参数，球形是最小假设。逾渗理论经典模型以球形为基准。</w:t>
      </w:r>
    </w:p>
    <w:p>
      <w:pPr>
        <w:ind w:firstLine="480"/>
      </w:pPr>
      <w:r>
        <w:rPr>
          <w:rFonts w:ascii="宋体" w:hAnsi="宋体" w:eastAsia="宋体"/>
          <w:sz w:val="24"/>
        </w:rPr>
        <w:t>对模型的影响：使距离判据简化为标量比较，等效半径修正可补偿非球形误差。</w:t>
      </w:r>
    </w:p>
    <w:p>
      <w:pPr>
        <w:ind w:firstLine="480"/>
      </w:pPr>
      <w:r>
        <w:rPr>
          <w:rFonts w:ascii="宋体" w:hAnsi="宋体" w:eastAsia="宋体"/>
          <w:sz w:val="24"/>
        </w:rPr>
        <w:t>(假设2：二值接触导电假设) 二值接触导电假设</w:t>
      </w:r>
    </w:p>
    <w:p>
      <w:pPr>
        <w:ind w:firstLine="480"/>
      </w:pPr>
      <w:r>
        <w:rPr>
          <w:rFonts w:ascii="宋体" w:hAnsi="宋体" w:eastAsia="宋体"/>
          <w:sz w:val="24"/>
        </w:rPr>
        <w:t>设立依据：逾渗理论框架基于二值连接。微米级填料接触导电远大于隧穿导电。</w:t>
      </w:r>
    </w:p>
    <w:p>
      <w:pPr>
        <w:ind w:firstLine="480"/>
      </w:pPr>
      <w:r>
        <w:rPr>
          <w:rFonts w:ascii="宋体" w:hAnsi="宋体" w:eastAsia="宋体"/>
          <w:sz w:val="24"/>
        </w:rPr>
        <w:t>对模型的影响：简化导电判断，后续可用隧穿概率模型扩展(v3版本)。</w:t>
      </w:r>
    </w:p>
    <w:p>
      <w:pPr>
        <w:ind w:firstLine="480"/>
      </w:pPr>
      <w:r>
        <w:rPr>
          <w:rFonts w:ascii="宋体" w:hAnsi="宋体" w:eastAsia="宋体"/>
          <w:sz w:val="24"/>
        </w:rPr>
        <w:t>(假设3：周期边界统计均匀假设) 周期边界统计均匀假设</w:t>
      </w:r>
    </w:p>
    <w:p>
      <w:pPr>
        <w:ind w:firstLine="480"/>
      </w:pPr>
      <w:r>
        <w:rPr>
          <w:rFonts w:ascii="宋体" w:hAnsi="宋体" w:eastAsia="宋体"/>
          <w:sz w:val="24"/>
        </w:rPr>
        <w:t>设立依据：PBC是微力学RVE标准假设(Hill,1963)。附件坐标对称分布且边界值频繁出现。</w:t>
      </w:r>
    </w:p>
    <w:p>
      <w:pPr>
        <w:ind w:firstLine="480"/>
      </w:pPr>
      <w:r>
        <w:rPr>
          <w:rFonts w:ascii="宋体" w:hAnsi="宋体" w:eastAsia="宋体"/>
          <w:sz w:val="24"/>
        </w:rPr>
        <w:t>对模型的影响：消除边界选择任意性，环面拓扑使判定仅取决于粒子分布。</w:t>
      </w:r>
    </w:p>
    <w:p>
      <w:pPr>
        <w:ind w:firstLine="480"/>
      </w:pPr>
      <w:r>
        <w:rPr>
          <w:rFonts w:ascii="宋体" w:hAnsi="宋体" w:eastAsia="宋体"/>
          <w:sz w:val="24"/>
        </w:rPr>
        <w:t>(假设4：Guth-Gold力学代理适用性) Guth-Gold力学代理适用性</w:t>
      </w:r>
    </w:p>
    <w:p>
      <w:pPr>
        <w:ind w:firstLine="480"/>
      </w:pPr>
      <w:r>
        <w:rPr>
          <w:rFonts w:ascii="宋体" w:hAnsi="宋体" w:eastAsia="宋体"/>
          <w:sz w:val="24"/>
        </w:rPr>
        <w:t>设立依据：Einstein(1906)和Guth(1945)验证了球形填料B=2.5的理论值。约束phi&lt;=0.10保证精度。</w:t>
      </w:r>
    </w:p>
    <w:p>
      <w:pPr>
        <w:ind w:firstLine="480"/>
      </w:pPr>
      <w:r>
        <w:rPr>
          <w:rFonts w:ascii="宋体" w:hAnsi="宋体" w:eastAsia="宋体"/>
          <w:sz w:val="24"/>
        </w:rPr>
        <w:t>对模型的影响：phi&gt;0.1时需改用Mori-Tanaka模型。</w:t>
      </w:r>
    </w:p>
    <w:p>
      <w:pPr>
        <w:ind w:firstLine="480"/>
      </w:pPr>
      <w:r>
        <w:rPr>
          <w:rFonts w:ascii="宋体" w:hAnsi="宋体" w:eastAsia="宋体"/>
          <w:sz w:val="24"/>
        </w:rPr>
        <w:t>(假设5：静态几何模型假设) 静态几何模型假设</w:t>
      </w:r>
    </w:p>
    <w:p>
      <w:pPr>
        <w:ind w:firstLine="480"/>
      </w:pPr>
      <w:r>
        <w:rPr>
          <w:rFonts w:ascii="宋体" w:hAnsi="宋体" w:eastAsia="宋体"/>
          <w:sz w:val="24"/>
        </w:rPr>
        <w:t>设立依据：题目输入为确定性坐标，聚合物固化后填料位置固定是工程常态。</w:t>
      </w:r>
    </w:p>
    <w:p>
      <w:pPr>
        <w:ind w:firstLine="480"/>
      </w:pPr>
      <w:r>
        <w:rPr>
          <w:rFonts w:ascii="宋体" w:hAnsi="宋体" w:eastAsia="宋体"/>
          <w:sz w:val="24"/>
        </w:rPr>
        <w:t>对模型的影响：MC扰动补偿，将确定论扩展为概率论框架。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四、符号说明</w:t>
      </w:r>
    </w:p>
    <w:p>
      <w:r>
        <w:rPr>
          <w:rFonts w:ascii="宋体" w:hAnsi="宋体" w:eastAsia="宋体"/>
          <w:sz w:val="24"/>
        </w:rPr>
        <w:t>表1 本文主要符号说明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18"/>
              </w:rPr>
              <w:t>符号</w:t>
            </w:r>
          </w:p>
        </w:tc>
        <w:tc>
          <w:tcPr>
            <w:tcW w:type="dxa" w:w="2075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075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2075"/>
          </w:tcPr>
          <w:p>
            <w:r>
              <w:rPr>
                <w:b/>
                <w:sz w:val="18"/>
              </w:rPr>
              <w:t>首次出现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p_i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粒子i中心坐标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坐标单位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(1)式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粒子总数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个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问题一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RVE边长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坐标单位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(1)式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粒子基础半径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坐标单位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问题一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自适应系数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无量纲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(2)式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ri_eff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等效半径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坐标单位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(2)式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d_T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环面距离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坐标单位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(1)式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P_conn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连通概率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无量纲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(18)式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S_i/ST_i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Sobol指数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无量纲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(3-3)(3-4)式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C_i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TOPSIS贴近度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无量纲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(4-10)式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五、模型建立与求解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5.1 问题一：PAGCM周期边界自适应图连通判定模型</w:t>
      </w:r>
    </w:p>
    <w:p>
      <w:pPr>
        <w:jc w:val="left"/>
      </w:pPr>
      <w:r>
        <w:rPr>
          <w:rFonts w:ascii="宋体" w:hAnsi="宋体" w:eastAsia="宋体"/>
          <w:b/>
          <w:sz w:val="24"/>
        </w:rPr>
        <w:t>5.1.1 模型构建</w:t>
      </w:r>
    </w:p>
    <w:p>
      <w:pPr>
        <w:ind w:firstLine="480"/>
      </w:pPr>
      <w:r>
        <w:rPr>
          <w:rFonts w:ascii="宋体" w:hAnsi="宋体" w:eastAsia="宋体"/>
          <w:sz w:val="24"/>
        </w:rPr>
        <w:t>将微构体RVE建模为边长L=10000的立方体，通过将三组对立面循环粘合得到三维环面T^3。每颗导电填料粒子对应图的一个节点，节点间根据环面距离和自适应等效半径判断是否建立导电边。</w:t>
      </w:r>
    </w:p>
    <w:p>
      <w:pPr>
        <w:ind w:firstLine="480"/>
      </w:pPr>
      <w:r>
        <w:rPr>
          <w:rFonts w:ascii="宋体" w:hAnsi="宋体" w:eastAsia="宋体"/>
          <w:sz w:val="24"/>
        </w:rPr>
        <w:t>核心创新一：环面距离度量。在周期边界条件下，两粒子的最短路径可能穿越边界：</w:t>
      </w:r>
    </w:p>
    <w:p>
      <w:pPr>
        <w:jc w:val="center"/>
      </w:pPr>
      <w:r>
        <w:rPr>
          <w:rFonts w:ascii="Times New Roman" w:hAnsi="Times New Roman"/>
          <w:i/>
          <w:sz w:val="20"/>
        </w:rPr>
        <w:t>d_T(p_i,p_j) = sqrt{ sum_{dim}[min(|p_{i,dim}-p_{j,dim}|, L-|p_{i,dim}-p_{j,dim}|)]^2 }  (1)</w:t>
      </w:r>
    </w:p>
    <w:p>
      <w:pPr>
        <w:ind w:firstLine="480"/>
      </w:pPr>
      <w:r>
        <w:rPr>
          <w:rFonts w:ascii="宋体" w:hAnsi="宋体" w:eastAsia="宋体"/>
          <w:sz w:val="24"/>
        </w:rPr>
        <w:t>核心创新二：密度感知自适应等效半径。PAGCM区别于传统固定半径模型的关键：</w:t>
      </w:r>
    </w:p>
    <w:p>
      <w:pPr>
        <w:jc w:val="center"/>
      </w:pPr>
      <w:r>
        <w:rPr>
          <w:rFonts w:ascii="Times New Roman" w:hAnsi="Times New Roman"/>
          <w:i/>
          <w:sz w:val="20"/>
        </w:rPr>
        <w:t>r_i^eff = r_0 * [1 + alpha * tanh(rho_local(i)/rho_global - 1)]  (2)</w:t>
      </w:r>
    </w:p>
    <w:p>
      <w:pPr>
        <w:ind w:firstLine="480"/>
      </w:pPr>
      <w:r>
        <w:rPr>
          <w:rFonts w:ascii="宋体" w:hAnsi="宋体" w:eastAsia="宋体"/>
          <w:sz w:val="24"/>
        </w:rPr>
        <w:t>其中rho_local(i)=3n_i/(4pi*R_search^3)为局部数密度，rho_global=N/L^3为全局密度。tanh函数提供平滑饱和，ri_eff截断在[0.5r0,3r0]。图的边集E={(i,j,k_ij): d_T&lt;=ri_eff+rj_eff}。采用并查集(Union-Find)实现O(|E|*alpha(N))聚类。连通判定：若存在低边界粒子i和高边界粒子j满足Find(i)=Find(j)，则conn_d=1。MC扰动M=200轮输出P_conn。</w:t>
      </w:r>
    </w:p>
    <w:p>
      <w:pPr>
        <w:jc w:val="left"/>
      </w:pPr>
      <w:r>
        <w:rPr>
          <w:rFonts w:ascii="宋体" w:hAnsi="宋体" w:eastAsia="宋体"/>
          <w:b/>
          <w:sz w:val="24"/>
        </w:rPr>
        <w:t>5.1.2 模型求解与结果</w:t>
      </w:r>
    </w:p>
    <w:p>
      <w:pPr>
        <w:ind w:firstLine="480"/>
      </w:pPr>
      <w:r>
        <w:rPr>
          <w:rFonts w:ascii="宋体" w:hAnsi="宋体" w:eastAsia="宋体"/>
          <w:sz w:val="24"/>
        </w:rPr>
        <w:t>求解语言Python 3.11，纯标准库。参数取r0=250,alpha=0.5,L=10000。对附件6组数据集求解。</w:t>
      </w:r>
    </w:p>
    <w:p>
      <w:r>
        <w:rPr>
          <w:rFonts w:ascii="宋体" w:hAnsi="宋体" w:eastAsia="宋体"/>
          <w:sz w:val="24"/>
        </w:rPr>
        <w:t>表2 问题一连通性判定结果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922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922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922"/>
          </w:tcPr>
          <w:p>
            <w:r>
              <w:rPr>
                <w:b/>
                <w:sz w:val="18"/>
              </w:rPr>
              <w:t>X</w:t>
            </w:r>
          </w:p>
        </w:tc>
        <w:tc>
          <w:tcPr>
            <w:tcW w:type="dxa" w:w="922"/>
          </w:tcPr>
          <w:p>
            <w:r>
              <w:rPr>
                <w:b/>
                <w:sz w:val="18"/>
              </w:rPr>
              <w:t>Y</w:t>
            </w:r>
          </w:p>
        </w:tc>
        <w:tc>
          <w:tcPr>
            <w:tcW w:type="dxa" w:w="922"/>
          </w:tcPr>
          <w:p>
            <w:r>
              <w:rPr>
                <w:b/>
                <w:sz w:val="18"/>
              </w:rPr>
              <w:t>Z</w:t>
            </w:r>
          </w:p>
        </w:tc>
        <w:tc>
          <w:tcPr>
            <w:tcW w:type="dxa" w:w="922"/>
          </w:tcPr>
          <w:p>
            <w:r>
              <w:rPr>
                <w:b/>
                <w:sz w:val="18"/>
              </w:rPr>
              <w:t>边数</w:t>
            </w:r>
          </w:p>
        </w:tc>
        <w:tc>
          <w:tcPr>
            <w:tcW w:type="dxa" w:w="922"/>
          </w:tcPr>
          <w:p>
            <w:r>
              <w:rPr>
                <w:b/>
                <w:sz w:val="18"/>
              </w:rPr>
              <w:t>分量K</w:t>
            </w:r>
          </w:p>
        </w:tc>
        <w:tc>
          <w:tcPr>
            <w:tcW w:type="dxa" w:w="922"/>
          </w:tcPr>
          <w:p>
            <w:r>
              <w:rPr>
                <w:b/>
                <w:sz w:val="18"/>
              </w:rPr>
              <w:t>最大簇</w:t>
            </w:r>
          </w:p>
        </w:tc>
        <w:tc>
          <w:tcPr>
            <w:tcW w:type="dxa" w:w="922"/>
          </w:tcPr>
          <w:p>
            <w:r>
              <w:rPr>
                <w:b/>
                <w:sz w:val="18"/>
              </w:rPr>
              <w:t>r_eff均值</w:t>
            </w:r>
          </w:p>
        </w:tc>
      </w:tr>
      <w:tr>
        <w:tc>
          <w:tcPr>
            <w:tcW w:type="dxa" w:w="922"/>
          </w:tcPr>
          <w:p>
            <w:r>
              <w:rPr>
                <w:sz w:val="18"/>
              </w:rPr>
              <w:t>组1_A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375.0</w:t>
            </w:r>
          </w:p>
        </w:tc>
      </w:tr>
      <w:tr>
        <w:tc>
          <w:tcPr>
            <w:tcW w:type="dxa" w:w="922"/>
          </w:tcPr>
          <w:p>
            <w:r>
              <w:rPr>
                <w:sz w:val="18"/>
              </w:rPr>
              <w:t>组1_B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356.6</w:t>
            </w:r>
          </w:p>
        </w:tc>
      </w:tr>
      <w:tr>
        <w:tc>
          <w:tcPr>
            <w:tcW w:type="dxa" w:w="922"/>
          </w:tcPr>
          <w:p>
            <w:r>
              <w:rPr>
                <w:sz w:val="18"/>
              </w:rPr>
              <w:t>组2_A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375.0</w:t>
            </w:r>
          </w:p>
        </w:tc>
      </w:tr>
      <w:tr>
        <w:tc>
          <w:tcPr>
            <w:tcW w:type="dxa" w:w="922"/>
          </w:tcPr>
          <w:p>
            <w:r>
              <w:rPr>
                <w:sz w:val="18"/>
              </w:rPr>
              <w:t>组2_B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375.0</w:t>
            </w:r>
          </w:p>
        </w:tc>
      </w:tr>
      <w:tr>
        <w:tc>
          <w:tcPr>
            <w:tcW w:type="dxa" w:w="922"/>
          </w:tcPr>
          <w:p>
            <w:r>
              <w:rPr>
                <w:sz w:val="18"/>
              </w:rPr>
              <w:t>组3_A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535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通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通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393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264.5</w:t>
            </w:r>
          </w:p>
        </w:tc>
      </w:tr>
      <w:tr>
        <w:tc>
          <w:tcPr>
            <w:tcW w:type="dxa" w:w="922"/>
          </w:tcPr>
          <w:p>
            <w:r>
              <w:rPr>
                <w:sz w:val="18"/>
              </w:rPr>
              <w:t>组3_B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535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通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通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通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413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922"/>
          </w:tcPr>
          <w:p>
            <w:r>
              <w:rPr>
                <w:sz w:val="18"/>
              </w:rPr>
              <w:t>264.3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sz w:val="24"/>
        </w:rPr>
        <w:t>基础分析：组1(N=12,phi≈0.08%)全方向绝缘，符合逾渗理论预期。组2(N=49,phi≈0.32%)处于逾渗转变区。组3(N=535,phi≈3.5%)在Y/Z方向连通，最大簇从12增至88。</w:t>
      </w:r>
    </w:p>
    <w:p>
      <w:pPr>
        <w:ind w:firstLine="480"/>
      </w:pPr>
      <w:r>
        <w:rPr>
          <w:rFonts w:ascii="宋体" w:hAnsi="宋体" w:eastAsia="宋体"/>
          <w:sz w:val="24"/>
        </w:rPr>
        <w:t>深层分析：PAGCM与GPNM交叉验证88.9%判定一致。PAGCM额外检出2个逾渗通路。Y/Z方向P_conn=100%极鲁棒，X方向约80%处于临界区。</w:t>
      </w:r>
    </w:p>
    <w:p>
      <w:pPr>
        <w:ind w:firstLine="480"/>
      </w:pPr>
      <w:r>
        <w:rPr>
          <w:rFonts w:ascii="宋体" w:hAnsi="宋体" w:eastAsia="宋体"/>
          <w:sz w:val="24"/>
        </w:rPr>
        <w:t>模型检验：组3_X方向在alpha&lt;0.4或r0&lt;225时连通性翻转——逾渗临界区对参数敏感的物理本质(关联长度发散)。组1对参数波动完全鲁棒。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5.2 问题二：MESA-PAGCM最大熵模拟退火优化模型</w:t>
      </w:r>
    </w:p>
    <w:p>
      <w:pPr>
        <w:jc w:val="left"/>
      </w:pPr>
      <w:r>
        <w:rPr>
          <w:rFonts w:ascii="宋体" w:hAnsi="宋体" w:eastAsia="宋体"/>
          <w:b/>
          <w:sz w:val="24"/>
        </w:rPr>
        <w:t>5.2.1 模型构建</w:t>
      </w:r>
    </w:p>
    <w:p>
      <w:pPr>
        <w:ind w:firstLine="480"/>
      </w:pPr>
      <w:r>
        <w:rPr>
          <w:rFonts w:ascii="宋体" w:hAnsi="宋体" w:eastAsia="宋体"/>
          <w:sz w:val="24"/>
        </w:rPr>
        <w:t>将填料配方优化抽象为带PAGCM评估器的约束组合优化问题。目标函数f(X)=N/N_max+lambda*max(0,P_target-P_conn)。</w:t>
      </w:r>
    </w:p>
    <w:p>
      <w:pPr>
        <w:ind w:firstLine="480"/>
      </w:pPr>
      <w:r>
        <w:rPr>
          <w:rFonts w:ascii="宋体" w:hAnsi="宋体" w:eastAsia="宋体"/>
          <w:sz w:val="24"/>
        </w:rPr>
        <w:t>创新一(信息论-&gt;材料)：MaxEnt初始化。在无先验知识时熵最大的分布(均匀排布)是最优无偏猜测，最大化给定N下的有效接触概率。创新二(统计物理-&gt;优化)：SA全局搜索，Metropolis准则P_accept=min(1,exp(-Delta_f/T))。T0=50,gamma=0.95,共166轮降温。</w:t>
      </w:r>
    </w:p>
    <w:p>
      <w:pPr>
        <w:jc w:val="left"/>
      </w:pPr>
      <w:r>
        <w:rPr>
          <w:rFonts w:ascii="宋体" w:hAnsi="宋体" w:eastAsia="宋体"/>
          <w:b/>
          <w:sz w:val="24"/>
        </w:rPr>
        <w:t>5.2.2 结果分析</w:t>
      </w:r>
    </w:p>
    <w:p>
      <w:pPr>
        <w:ind w:firstLine="480"/>
      </w:pPr>
      <w:r>
        <w:rPr>
          <w:rFonts w:ascii="宋体" w:hAnsi="宋体" w:eastAsia="宋体"/>
          <w:sz w:val="24"/>
        </w:rPr>
        <w:t>搜索范围N in [664,13290](N_c=4430)。组1(N=12-&gt;约680)实现三方连通，仅为理论N_c的15%。组2_A(N=49)仅需优化Y/Z方向。5次独立SA的N*变异系数&lt;5%，收敛一致。</w:t>
      </w:r>
    </w:p>
    <w:p>
      <w:pPr>
        <w:jc w:val="center"/>
      </w:pPr>
      <w:r>
        <w:rPr>
          <w:b/>
          <w:sz w:val="18"/>
        </w:rPr>
        <w:t>图5 优化目标识别热力图(MESA优化前)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720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heatmap_targ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209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图6 MESA优化前后对比(组1:12-&gt;680粒子)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23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efore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38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黑体" w:hAnsi="黑体" w:eastAsia="黑体"/>
          <w:b/>
          <w:sz w:val="24"/>
        </w:rPr>
        <w:t>5.3 问题三：MS-PAGCM多尺度敏感性分析模型</w:t>
      </w:r>
    </w:p>
    <w:p>
      <w:pPr>
        <w:jc w:val="left"/>
      </w:pPr>
      <w:r>
        <w:rPr>
          <w:rFonts w:ascii="宋体" w:hAnsi="宋体" w:eastAsia="宋体"/>
          <w:b/>
          <w:sz w:val="24"/>
        </w:rPr>
        <w:t>5.3.1 模型构建</w:t>
      </w:r>
    </w:p>
    <w:p>
      <w:pPr>
        <w:ind w:firstLine="480"/>
      </w:pPr>
      <w:r>
        <w:rPr>
          <w:rFonts w:ascii="宋体" w:hAnsi="宋体" w:eastAsia="宋体"/>
          <w:sz w:val="24"/>
        </w:rPr>
        <w:t>三层算法升级：①多分散粒径分布P(r;mu_r,CV_r)；②Hammersley序列(N_s=500)驱动的Sobol全局敏感性；③微观-介观-宏观三尺度分解。</w:t>
      </w:r>
    </w:p>
    <w:p>
      <w:pPr>
        <w:jc w:val="center"/>
      </w:pPr>
      <w:r>
        <w:rPr>
          <w:b/>
          <w:sz w:val="18"/>
        </w:rPr>
        <w:t>图7 MS-PAGCM建模流程图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506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069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宋体" w:hAnsi="宋体" w:eastAsia="宋体"/>
          <w:b/>
          <w:sz w:val="24"/>
        </w:rPr>
        <w:t>5.3.2 结果分析</w:t>
      </w:r>
    </w:p>
    <w:p>
      <w:r>
        <w:rPr>
          <w:rFonts w:ascii="宋体" w:hAnsi="宋体" w:eastAsia="宋体"/>
          <w:sz w:val="24"/>
        </w:rPr>
        <w:t>表3 六参数Sobol敏感性指数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383"/>
          </w:tcPr>
          <w:p>
            <w:r>
              <w:rPr>
                <w:b/>
                <w:sz w:val="18"/>
              </w:rPr>
              <w:t>S1一阶</w:t>
            </w:r>
          </w:p>
        </w:tc>
        <w:tc>
          <w:tcPr>
            <w:tcW w:type="dxa" w:w="1383"/>
          </w:tcPr>
          <w:p>
            <w:r>
              <w:rPr>
                <w:b/>
                <w:sz w:val="18"/>
              </w:rPr>
              <w:t>ST全阶</w:t>
            </w:r>
          </w:p>
        </w:tc>
        <w:tc>
          <w:tcPr>
            <w:tcW w:type="dxa" w:w="1383"/>
          </w:tcPr>
          <w:p>
            <w:r>
              <w:rPr>
                <w:b/>
                <w:sz w:val="18"/>
              </w:rPr>
              <w:t>交互(ST-S1)</w:t>
            </w:r>
          </w:p>
        </w:tc>
        <w:tc>
          <w:tcPr>
            <w:tcW w:type="dxa" w:w="1383"/>
          </w:tcPr>
          <w:p>
            <w:r>
              <w:rPr>
                <w:b/>
                <w:sz w:val="18"/>
              </w:rPr>
              <w:t>OAT效应</w:t>
            </w:r>
          </w:p>
        </w:tc>
        <w:tc>
          <w:tcPr>
            <w:tcW w:type="dxa" w:w="1383"/>
          </w:tcPr>
          <w:p>
            <w:r>
              <w:rPr>
                <w:b/>
                <w:sz w:val="18"/>
              </w:rPr>
              <w:t>显著性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mu_r(平均粒径)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0.080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0.959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0.137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***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CV_r(粒径变异)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0.960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0.965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0.087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***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s(形状因子)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0.934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0.949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0.192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***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alpha(自适应)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0.903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0.929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***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phi(填充率)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0.854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0.102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0.350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***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strategy(排布)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0.442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0.495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0.097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***</w:t>
            </w:r>
          </w:p>
        </w:tc>
      </w:tr>
    </w:tbl>
    <w:p/>
    <w:p>
      <w:pPr>
        <w:jc w:val="center"/>
      </w:pPr>
      <w:r>
        <w:rPr>
          <w:b/>
          <w:sz w:val="18"/>
        </w:rPr>
        <w:t>图8 Sobol一阶指数(S1)与全阶指数(ST)对比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889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obol_ba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89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480"/>
      </w:pPr>
      <w:r>
        <w:rPr>
          <w:rFonts w:ascii="宋体" w:hAnsi="宋体" w:eastAsia="宋体"/>
          <w:sz w:val="24"/>
        </w:rPr>
        <w:t>参数排序:mu_r(1.000)&gt;CV_r(0.960)&gt;s(0.934)&gt;alpha(0.903)&gt;phi(0.877)&gt;strategy(0.442)。phi的S1最高(0.854)但ST仅排第五——独立效应大但交互效应小。总交互效应4.40&gt;&gt;6，参数间强耦合。</w:t>
      </w:r>
    </w:p>
    <w:p>
      <w:pPr>
        <w:jc w:val="center"/>
      </w:pPr>
      <w:r>
        <w:rPr>
          <w:b/>
          <w:sz w:val="18"/>
        </w:rPr>
        <w:t>图9 交互效应与三尺度方差贡献分布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223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interaction_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23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480"/>
      </w:pPr>
      <w:r>
        <w:rPr>
          <w:rFonts w:ascii="宋体" w:hAnsi="宋体" w:eastAsia="宋体"/>
          <w:sz w:val="24"/>
        </w:rPr>
        <w:t>三尺度贡献:微观56.6%,介观26.3%,宏观17.1%。粒径分布是调控导电性最有效杠杆。</w:t>
      </w:r>
    </w:p>
    <w:p>
      <w:pPr>
        <w:ind w:firstLine="480"/>
      </w:pPr>
      <w:r>
        <w:rPr>
          <w:rFonts w:ascii="宋体" w:hAnsi="宋体" w:eastAsia="宋体"/>
          <w:sz w:val="24"/>
        </w:rPr>
        <w:t>模型检验：OAT将phi错排第一(效应0.350)，Sobol揭示mu_r总效应最大(1.000)——OAT忽略间接路径，给出误导性排名。全部ST的95%CI远离0，全部显著。</w:t>
      </w:r>
    </w:p>
    <w:p>
      <w:pPr>
        <w:jc w:val="center"/>
      </w:pPr>
      <w:r>
        <w:rPr>
          <w:b/>
          <w:sz w:val="18"/>
        </w:rPr>
        <w:t>图10 OAT vs Sobol对比验证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8859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oat_vs_sob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859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黑体" w:hAnsi="黑体" w:eastAsia="黑体"/>
          <w:b/>
          <w:sz w:val="24"/>
        </w:rPr>
        <w:t>5.4 问题四：MOEA/D-PAGCM多目标进化优化模型</w:t>
      </w:r>
    </w:p>
    <w:p>
      <w:pPr>
        <w:jc w:val="left"/>
      </w:pPr>
      <w:r>
        <w:rPr>
          <w:rFonts w:ascii="宋体" w:hAnsi="宋体" w:eastAsia="宋体"/>
          <w:b/>
          <w:sz w:val="24"/>
        </w:rPr>
        <w:t>5.4.1 模型构建</w:t>
      </w:r>
    </w:p>
    <w:p>
      <w:pPr>
        <w:ind w:firstLine="480"/>
      </w:pPr>
      <w:r>
        <w:rPr>
          <w:rFonts w:ascii="宋体" w:hAnsi="宋体" w:eastAsia="宋体"/>
          <w:sz w:val="24"/>
        </w:rPr>
        <w:t>三模型融合：PAGCM(物理评估)+MOEA/D(多目标进化)+TOPSIS+熵权法(决策推荐)。四目标：f1=1-P_conn,f2=N/N_max,f3=phi,f4=1-E/E0(B=2.5)。约束：P_conn&gt;=0.80,phi&lt;=0.10。</w:t>
      </w:r>
    </w:p>
    <w:p>
      <w:pPr>
        <w:jc w:val="center"/>
      </w:pPr>
      <w:r>
        <w:rPr>
          <w:b/>
          <w:sz w:val="18"/>
        </w:rPr>
        <w:t>图11 MOEA/D-PAGCM建模流程图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740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flow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407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480"/>
      </w:pPr>
      <w:r>
        <w:rPr>
          <w:rFonts w:ascii="宋体" w:hAnsi="宋体" w:eastAsia="宋体"/>
          <w:sz w:val="24"/>
        </w:rPr>
        <w:t>MOEA/D核心：切比雪夫分解g^{tch}=max{lambda_j*|f_j-z*_j|}。N_pop=50组均匀权重向量，DE/rand/1/bin生成子代(CR=0.9,F=0.5)，G=50代。TOPSIS+熵权法客观推荐。</w:t>
      </w:r>
    </w:p>
    <w:p>
      <w:pPr>
        <w:jc w:val="left"/>
      </w:pPr>
      <w:r>
        <w:rPr>
          <w:rFonts w:ascii="宋体" w:hAnsi="宋体" w:eastAsia="宋体"/>
          <w:b/>
          <w:sz w:val="24"/>
        </w:rPr>
        <w:t>5.4.2 结果分析</w:t>
      </w:r>
    </w:p>
    <w:p>
      <w:pPr>
        <w:ind w:firstLine="480"/>
      </w:pPr>
      <w:r>
        <w:rPr>
          <w:rFonts w:ascii="宋体" w:hAnsi="宋体" w:eastAsia="宋体"/>
          <w:sz w:val="24"/>
        </w:rPr>
        <w:t>进化50代后24个Pareto非支配解，100%可行。TOPSIS推荐：N=206,mu_r=293,CV_r=0,s=1.94,strategy=1。P_conn=90.86%,N/Nmax=0.103,phi=2.2%,E/E0=95.7%。</w:t>
      </w:r>
    </w:p>
    <w:p>
      <w:pPr>
        <w:jc w:val="center"/>
      </w:pPr>
      <w:r>
        <w:rPr>
          <w:b/>
          <w:sz w:val="18"/>
        </w:rPr>
        <w:t>图12 Pareto前沿：导电性vs材料成本(TOPSIS推荐标注)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150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pareto_fro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150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图13 TOPSIS推荐方案四目标雷达图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800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rad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80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480"/>
      </w:pPr>
      <w:r>
        <w:rPr>
          <w:rFonts w:ascii="宋体" w:hAnsi="宋体" w:eastAsia="宋体"/>
          <w:sz w:val="24"/>
        </w:rPr>
        <w:t>Pareto前沿呈收益递减——成本&gt;0.3后导电性提升趋缓(逾渗骨架已形成)。棒状(s=1.94)+链状(strategy=1)协同使phi=2.2%实现P_conn=90.86%。与Q2对比：放宽P_conn约束(Q2取0.95,Q4取0.80)使填料量从约680降至206(节省70%)。</w:t>
      </w:r>
    </w:p>
    <w:p>
      <w:pPr>
        <w:jc w:val="center"/>
      </w:pPr>
      <w:r>
        <w:rPr>
          <w:b/>
          <w:sz w:val="18"/>
        </w:rPr>
        <w:t>图14 MOEA/D进化收敛曲线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178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onverg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78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480"/>
      </w:pPr>
      <w:r>
        <w:rPr>
          <w:rFonts w:ascii="宋体" w:hAnsi="宋体" w:eastAsia="宋体"/>
          <w:sz w:val="24"/>
        </w:rPr>
        <w:t>模型检验：可行解数Gen10后稳定50/50(100%)。理想点f1*单调收敛至0。约束违反度全部为0。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六、模型评价</w:t>
      </w:r>
    </w:p>
    <w:p>
      <w:pPr>
        <w:jc w:val="left"/>
      </w:pPr>
      <w:r>
        <w:rPr>
          <w:rFonts w:ascii="黑体" w:hAnsi="黑体" w:eastAsia="黑体"/>
          <w:b/>
          <w:sz w:val="24"/>
        </w:rPr>
        <w:t>6.1 模型优点</w:t>
      </w:r>
    </w:p>
    <w:p>
      <w:pPr>
        <w:ind w:firstLine="480"/>
      </w:pPr>
      <w:r>
        <w:rPr>
          <w:rFonts w:ascii="宋体" w:hAnsi="宋体" w:eastAsia="宋体"/>
          <w:sz w:val="24"/>
        </w:rPr>
        <w:t>(1)创新性强。提出PAGCM系列模型体系：密度感知自适应等效半径、跨领域双重迁移、三尺度Sobol分解、三模型融合多目标优化。每创新点均有文献支撑和数值验证。</w:t>
      </w:r>
    </w:p>
    <w:p>
      <w:pPr>
        <w:ind w:firstLine="480"/>
      </w:pPr>
      <w:r>
        <w:rPr>
          <w:rFonts w:ascii="宋体" w:hAnsi="宋体" w:eastAsia="宋体"/>
          <w:sz w:val="24"/>
        </w:rPr>
        <w:t>(2)物理可解释性高。环面距离、自适应半径、并查集均有清晰物理对应；Sobol指数直接对应"参数影响力"；Pareto前沿收益递减与逾渗理论一致。</w:t>
      </w:r>
    </w:p>
    <w:p>
      <w:pPr>
        <w:ind w:firstLine="480"/>
      </w:pPr>
      <w:r>
        <w:rPr>
          <w:rFonts w:ascii="宋体" w:hAnsi="宋体" w:eastAsia="宋体"/>
          <w:sz w:val="24"/>
        </w:rPr>
        <w:t>(3)计算效率优异。纯Python标准库，核心O(N log N)复杂度。问题一535粒子0.2秒；问题三500样本Sobol+500Bootstrap约0.3秒。</w:t>
      </w:r>
    </w:p>
    <w:p>
      <w:pPr>
        <w:ind w:firstLine="480"/>
      </w:pPr>
      <w:r>
        <w:rPr>
          <w:rFonts w:ascii="宋体" w:hAnsi="宋体" w:eastAsia="宋体"/>
          <w:sz w:val="24"/>
        </w:rPr>
        <w:t>(4)方法论可推广。PAGCM框架可推广至热导率逾渗、力学增强网络、多孔介质渗流。四问递进形成完整方法链。</w:t>
      </w:r>
    </w:p>
    <w:p>
      <w:pPr>
        <w:ind w:firstLine="480"/>
      </w:pPr>
      <w:r>
        <w:rPr>
          <w:rFonts w:ascii="宋体" w:hAnsi="宋体" w:eastAsia="宋体"/>
          <w:sz w:val="24"/>
        </w:rPr>
        <w:t>(5)验证全面。每问含多重验证：交叉验证、多重启动、Bootstrap CI+OAT对比、收敛性分析。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6.2 模型缺点</w:t>
      </w:r>
    </w:p>
    <w:p>
      <w:pPr>
        <w:ind w:firstLine="480"/>
      </w:pPr>
      <w:r>
        <w:rPr>
          <w:rFonts w:ascii="宋体" w:hAnsi="宋体" w:eastAsia="宋体"/>
          <w:sz w:val="24"/>
        </w:rPr>
        <w:t>(1)球形粒子假设。极端长径比(CNT&gt;100)下等效修正可能不足。在Q3和Q4中通过形状因子s进行了修正。</w:t>
      </w:r>
    </w:p>
    <w:p>
      <w:pPr>
        <w:ind w:firstLine="480"/>
      </w:pPr>
      <w:r>
        <w:rPr>
          <w:rFonts w:ascii="宋体" w:hAnsi="宋体" w:eastAsia="宋体"/>
          <w:sz w:val="24"/>
        </w:rPr>
        <w:t>(2)二值接触假设。忽略量子隧穿效应的渐变导电，纳米填料体系中可能低估逾渗概率。v3隧穿增强模型部分解决。</w:t>
      </w:r>
    </w:p>
    <w:p>
      <w:pPr>
        <w:ind w:firstLine="480"/>
      </w:pPr>
      <w:r>
        <w:rPr>
          <w:rFonts w:ascii="宋体" w:hAnsi="宋体" w:eastAsia="宋体"/>
          <w:sz w:val="24"/>
        </w:rPr>
        <w:t>(3)代理模型精度。Q3使用代理评估函数(为节省计算)，样本量500低于Saltelli(2008)推荐的1000+。论文建议增至2000+并采用完整PAGCM评估。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七、参考文献</w:t>
      </w:r>
    </w:p>
    <w:p>
      <w:r>
        <w:rPr>
          <w:rFonts w:ascii="宋体" w:hAnsi="宋体" w:eastAsia="宋体"/>
          <w:sz w:val="24"/>
        </w:rPr>
        <w:t>[1] Scher H, Zallen R. Critical density in percolation processes[J]. Journal of Chemical Physics, 1970, 53(9): 3759-3761.</w:t>
      </w:r>
    </w:p>
    <w:p>
      <w:r>
        <w:rPr>
          <w:rFonts w:ascii="宋体" w:hAnsi="宋体" w:eastAsia="宋体"/>
          <w:sz w:val="24"/>
        </w:rPr>
        <w:t>[2] Balberg I. Recent developments in continuum percolation[J]. Philosophical Magazine B, 1987, 56(6): 991-1003.</w:t>
      </w:r>
    </w:p>
    <w:p>
      <w:r>
        <w:rPr>
          <w:rFonts w:ascii="宋体" w:hAnsi="宋体" w:eastAsia="宋体"/>
          <w:sz w:val="24"/>
        </w:rPr>
        <w:t>[3] Kirkpatrick S, Gelatt C D, Vecchi M P. Optimization by simulated annealing[J]. Science, 1983, 220(4598): 671-680.</w:t>
      </w:r>
    </w:p>
    <w:p>
      <w:r>
        <w:rPr>
          <w:rFonts w:ascii="宋体" w:hAnsi="宋体" w:eastAsia="宋体"/>
          <w:sz w:val="24"/>
        </w:rPr>
        <w:t>[4] Zhang Q, Li H. MOEA/D: A multiobjective evolutionary algorithm based on decomposition[J]. IEEE Transactions on Evolutionary Computation, 2007, 11(6): 712-731.</w:t>
      </w:r>
    </w:p>
    <w:p>
      <w:r>
        <w:rPr>
          <w:rFonts w:ascii="宋体" w:hAnsi="宋体" w:eastAsia="宋体"/>
          <w:sz w:val="24"/>
        </w:rPr>
        <w:t>[5] Sobol I M. Global sensitivity indices for nonlinear mathematical models[J]. Mathematics and Computers in Simulation, 2001, 55(1-3): 271-280.</w:t>
      </w:r>
    </w:p>
    <w:p>
      <w:r>
        <w:rPr>
          <w:rFonts w:ascii="宋体" w:hAnsi="宋体" w:eastAsia="宋体"/>
          <w:sz w:val="24"/>
        </w:rPr>
        <w:t>[6] Saltelli A, Ratto M, Andres T, et al. Global sensitivity analysis: The primer[M]. Chichester: John Wiley &amp; Sons, 2008: 155-182.</w:t>
      </w:r>
    </w:p>
    <w:p>
      <w:r>
        <w:rPr>
          <w:rFonts w:ascii="宋体" w:hAnsi="宋体" w:eastAsia="宋体"/>
          <w:sz w:val="24"/>
        </w:rPr>
        <w:t>[7] Guth E. Theory of filler reinforcement[J]. Journal of Applied Physics, 1945, 16(1): 20-25.</w:t>
      </w:r>
    </w:p>
    <w:p>
      <w:r>
        <w:rPr>
          <w:rFonts w:ascii="宋体" w:hAnsi="宋体" w:eastAsia="宋体"/>
          <w:sz w:val="24"/>
        </w:rPr>
        <w:t>[8] Hill R. Elastic properties of reinforced solids[J]. Journal of the Mechanics and Physics of Solids, 1963, 11(5): 357-372.</w:t>
      </w:r>
    </w:p>
    <w:p>
      <w:r>
        <w:rPr>
          <w:rFonts w:ascii="宋体" w:hAnsi="宋体" w:eastAsia="宋体"/>
          <w:sz w:val="24"/>
        </w:rPr>
        <w:t>[9] Jaynes E T. Information theory and statistical mechanics[J]. Physical Review, 1957, 106(4): 620-630.</w:t>
      </w:r>
    </w:p>
    <w:p>
      <w:r>
        <w:rPr>
          <w:rFonts w:ascii="宋体" w:hAnsi="宋体" w:eastAsia="宋体"/>
          <w:sz w:val="24"/>
        </w:rPr>
        <w:t>[10] Brest J, Greiner S, et al. Self-adapting control parameters in differential evolution[J]. IEEE TEC, 2006, 10(6): 646-657.</w:t>
      </w:r>
    </w:p>
    <w:p>
      <w:r>
        <w:rPr>
          <w:rFonts w:ascii="宋体" w:hAnsi="宋体" w:eastAsia="宋体"/>
          <w:sz w:val="24"/>
        </w:rPr>
        <w:t>[11] Pianosi F, Wagener T. A simple method for global sensitivity analysis based on CDFs[J]. Environmental Modelling &amp; Software, 2015, 64: 1-11.</w:t>
      </w:r>
    </w:p>
    <w:p>
      <w:r>
        <w:rPr>
          <w:rFonts w:ascii="宋体" w:hAnsi="宋体" w:eastAsia="宋体"/>
          <w:sz w:val="24"/>
        </w:rPr>
        <w:t>[12] Storn R, Price K. Differential evolution[J]. Journal of Global Optimization, 1997, 11(4): 341-359.</w:t>
      </w:r>
    </w:p>
    <w:p>
      <w:pPr>
        <w:jc w:val="left"/>
      </w:pPr>
      <w:r>
        <w:rPr>
          <w:rFonts w:ascii="黑体" w:hAnsi="黑体" w:eastAsia="黑体"/>
          <w:b/>
          <w:sz w:val="28"/>
        </w:rPr>
        <w:t>附录</w:t>
      </w:r>
    </w:p>
    <w:p>
      <w:pPr>
        <w:jc w:val="left"/>
      </w:pPr>
      <w:r>
        <w:rPr>
          <w:rFonts w:ascii="黑体" w:hAnsi="黑体" w:eastAsia="黑体"/>
          <w:b/>
          <w:sz w:val="24"/>
        </w:rPr>
        <w:t>附录A：核心求解代码</w:t>
      </w:r>
    </w:p>
    <w:p>
      <w:pPr>
        <w:ind w:firstLine="480"/>
      </w:pPr>
      <w:r>
        <w:rPr>
          <w:rFonts w:ascii="宋体" w:hAnsi="宋体" w:eastAsia="宋体"/>
          <w:sz w:val="24"/>
        </w:rPr>
        <w:t>完整求解代码已上传至GitHub：https://github.com/DONG928871/huashu-cup-2026。代码文件：q1_solve.py~q4_solve.py及其v2/v3版本，preprocess.py预处理脚本，gen_*_images.py图表生成脚本。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附录B：中间计算结果</w:t>
      </w:r>
    </w:p>
    <w:p>
      <w:r>
        <w:rPr>
          <w:rFonts w:ascii="宋体" w:hAnsi="宋体" w:eastAsia="宋体"/>
          <w:sz w:val="24"/>
        </w:rPr>
        <w:t>表B1 PAGCM评估中间值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383"/>
          </w:tcPr>
          <w:p>
            <w:r>
              <w:rPr>
                <w:b/>
                <w:sz w:val="18"/>
              </w:rPr>
              <w:t>r_eff均值</w:t>
            </w:r>
          </w:p>
        </w:tc>
        <w:tc>
          <w:tcPr>
            <w:tcW w:type="dxa" w:w="1383"/>
          </w:tcPr>
          <w:p>
            <w:r>
              <w:rPr>
                <w:b/>
                <w:sz w:val="18"/>
              </w:rPr>
              <w:t>r_eff_std</w:t>
            </w:r>
          </w:p>
        </w:tc>
        <w:tc>
          <w:tcPr>
            <w:tcW w:type="dxa" w:w="1383"/>
          </w:tcPr>
          <w:p>
            <w:r>
              <w:rPr>
                <w:b/>
                <w:sz w:val="18"/>
              </w:rPr>
              <w:t>边数</w:t>
            </w:r>
          </w:p>
        </w:tc>
        <w:tc>
          <w:tcPr>
            <w:tcW w:type="dxa" w:w="1383"/>
          </w:tcPr>
          <w:p>
            <w:r>
              <w:rPr>
                <w:b/>
                <w:sz w:val="18"/>
              </w:rPr>
              <w:t>分量数</w:t>
            </w:r>
          </w:p>
        </w:tc>
        <w:tc>
          <w:tcPr>
            <w:tcW w:type="dxa" w:w="1383"/>
          </w:tcPr>
          <w:p>
            <w:r>
              <w:rPr>
                <w:b/>
                <w:sz w:val="18"/>
              </w:rPr>
              <w:t>耗时(s)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组1_A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375.0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239.4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组1_B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356.6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223.8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组2_A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375.0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0.003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组2_B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375.0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组3_A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264.5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47.6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393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0.200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组3_B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264.3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47.9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413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0.195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4"/>
        </w:rPr>
        <w:t>附录C：处理后数据</w:t>
      </w:r>
    </w:p>
    <w:p>
      <w:pPr>
        <w:ind w:firstLine="480"/>
      </w:pPr>
      <w:r>
        <w:rPr>
          <w:rFonts w:ascii="宋体" w:hAnsi="宋体" w:eastAsia="宋体"/>
          <w:sz w:val="24"/>
        </w:rPr>
        <w:t>六组粒子坐标经预处理(缺失值0、重复点0、均在RVE内)以CSV/JSON保存。Q3 Sobol样本矩阵1000行x6列，Q4 Pareto前沿CSV。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附录D：补充图表</w:t>
      </w:r>
    </w:p>
    <w:p>
      <w:pPr>
        <w:ind w:firstLine="480"/>
      </w:pPr>
      <w:r>
        <w:rPr>
          <w:rFonts w:ascii="宋体" w:hAnsi="宋体" w:eastAsia="宋体"/>
          <w:sz w:val="24"/>
        </w:rPr>
        <w:t>完整38张PNG图表保存于docx输出/图片/目录，含流程图、热力图、柱状图、散点图、雷达图、收敛曲线等。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