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A题 微构体中填充导电介质的仿真优化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第四问 完整建模报告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MOEA/D-PAGCM — 多目标进化分解周期自适应图连通工程设计模型</w:t>
      </w:r>
    </w:p>
    <w:p>
      <w:r>
        <w:rPr>
          <w:rFonts w:ascii="宋体" w:hAnsi="宋体" w:eastAsia="宋体"/>
          <w:sz w:val="22"/>
        </w:rPr>
        <w:t>Multi-Objective Evolutionary Algorithm based on Decomposition with PAGCM</w:t>
      </w:r>
    </w:p>
    <w:p>
      <w:r>
        <w:rPr>
          <w:rFonts w:ascii="宋体" w:hAnsi="宋体" w:eastAsia="宋体"/>
          <w:sz w:val="22"/>
        </w:rPr>
        <w:t>创新方向选择：3 多模型融合组合创新（PAGCM物理评估 + MOEA/D多目标进化 + TOPSIS决策优选 + 熵权法客观赋权）</w:t>
      </w:r>
    </w:p>
    <w:p>
      <w:r>
        <w:rPr>
          <w:rFonts w:ascii="黑体" w:hAnsi="黑体" w:eastAsia="黑体"/>
          <w:b/>
          <w:sz w:val="28"/>
        </w:rPr>
        <w:t>模块一：模型建立与公式推导</w:t>
      </w:r>
    </w:p>
    <w:p>
      <w:r>
        <w:rPr>
          <w:rFonts w:ascii="黑体" w:hAnsi="黑体" w:eastAsia="黑体"/>
          <w:b/>
          <w:sz w:val="24"/>
        </w:rPr>
        <w:t>1.1 变量定义三线表</w:t>
      </w:r>
    </w:p>
    <w:p>
      <w:r>
        <w:rPr>
          <w:rFonts w:ascii="宋体" w:hAnsi="宋体" w:eastAsia="宋体"/>
          <w:sz w:val="22"/>
        </w:rPr>
        <w:t>表1-1 MOEA/D-PAGCM变量定义。按决策变量/目标变量/算法参数/约束参数/决策参数分类。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变量符号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变量名称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变量类型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取值范围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现实场景含义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X=[{p_i},N,{r_i},strategy]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优化决策变量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决策变量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5维混合变量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粒子空间排布+数量+粒径+排布策略的完整工程方案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F(X)=[f1,f2,f3,f4]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四目标向量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目标变量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R^4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f1=1-P_conn(导电损失),f2=N/Nmax(成本),f3=phi(重量),f4=1-E/E0(力学损失)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P_conn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连通概率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约束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&gt;=0.80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由PAGCM评估。Q4放宽至0.80(低于Q2的0.95)——给其他目标留优化空间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体积填充率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约束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&lt;=0.10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Guth-Gold模型在phi&gt;0.1后非线性显著，限制在此范围内保证代理模型精度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N_pop=50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种群规模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算法参数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[50,200]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MOEA/D子问题数=权重向量数。50为演示值，论文推荐100(更细Pareto前沿)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T=10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邻域大小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算法参数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[10,50]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每个子问题的交配伙伴数。T=N_pop*20%。太小-&gt;搜索局限，太大-&gt;收敛慢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G_max=50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最大进化代数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算法参数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[100,500]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50为演示值。50代x50个体=2500次PAGCM评估，约50秒(演示可接受)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CR=0.9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DE交叉率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算法参数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[0.5,1.0]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高CR-&gt;后代更多维度来自变异向量(高探索)。Storn&amp;Price(1997)推荐CR in [0.8,1.0]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F_mut=0.5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DE缩放因子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算法参数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[0.3,0.9]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中等步长，探索与开发的平衡。标准推荐F in [0.4,0.9]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B_Guth=2.5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Guth-Gold系数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代理模型参数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[1.5,4.0]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球形填料理论值(Einstein 1906)。棒状填料可取3.5-4.0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w_j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TOPSIS权重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决策参数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数据驱动(熵权法)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从Pareto前沿的数据分布中动态计算，避免人为设定。H_j=-k*sum(p_ij*log p_ij)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C_i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相对贴近度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决策输出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C=D-/(D+ + D-)。C越大方案越优。TOPSIS推荐C最大的方案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1.2 核心模型假设 (4条)</w:t>
      </w:r>
    </w:p>
    <w:p>
      <w:pPr>
        <w:ind w:firstLine="440"/>
      </w:pPr>
      <w:r>
        <w:rPr>
          <w:rFonts w:ascii="宋体" w:hAnsi="宋体" w:eastAsia="宋体"/>
          <w:sz w:val="22"/>
        </w:rPr>
        <w:t>[假设1: Pareto最优性假设] MOEA/D生成的Pareto前沿近似能够充分代表真实Pareto前沿。N_pop=50/100个子问题均匀覆盖权重空间，进化G=50/200代后前沿已充分收敛。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Zhang&amp;Li(2007)证明MOEA/D在连续多目标优化问题上能以概率1收敛到Pareto前沿。Das-Dennis单纯形法保证权重向量均匀分布。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有限种群和有限代数下Pareto前沿可能不完全(遗漏某些权重区域的最优解)。通过HV(超体积)指标监控收敛和增大N_pop/G_max来改善。</w:t>
      </w:r>
    </w:p>
    <w:p>
      <w:pPr>
        <w:ind w:firstLine="440"/>
      </w:pPr>
      <w:r>
        <w:rPr>
          <w:rFonts w:ascii="宋体" w:hAnsi="宋体" w:eastAsia="宋体"/>
          <w:sz w:val="22"/>
        </w:rPr>
        <w:t>[假设2: Guth-Gold力学代理模型的准确性假设] 复合材料的相对模量E/E0与填料体积分数phi的关系可用Guth-Gold模型E/E0=1+2.5*phi充分近似。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Einstein(1906)推导球形粒子悬浮液粘度增强的Guth-Gold系数B=2.5。实验验证在phi&lt;0.1时线性关系良好。B=3.5-4.0适用于棒状填料。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phi&gt;0.1时粒子间相互作用使Guth-Gold模型低估模量。Q4通过约束phi&lt;=0.10来保证代理模型在有效范围内。若需突破此约束需改用Mori-Tanaka或有限元均质化。</w:t>
      </w:r>
    </w:p>
    <w:p>
      <w:pPr>
        <w:ind w:firstLine="440"/>
      </w:pPr>
      <w:r>
        <w:rPr>
          <w:rFonts w:ascii="宋体" w:hAnsi="宋体" w:eastAsia="宋体"/>
          <w:sz w:val="22"/>
        </w:rPr>
        <w:t>[假设3: 四目标覆盖工程设计主要关切的充分性假设] 导电性(f1)、材料成本(f2)、重量(f3)和力学性能(f4)四个目标覆盖了导电复合材料工程设计的核心关切。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基于工业界的典型需求：电子封装关注导通率和成本，航空航天关注重量，结构件关注力学。四目标代表了不同应用场景的核心需求。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某些场景可能有额外关切(如热导率、电磁屏蔽效能、环境稳定性)。MOEA/D框架天然可扩展——增加一个目标仅需增加一个权重维度。</w:t>
      </w:r>
    </w:p>
    <w:p>
      <w:pPr>
        <w:ind w:firstLine="440"/>
      </w:pPr>
      <w:r>
        <w:rPr>
          <w:rFonts w:ascii="宋体" w:hAnsi="宋体" w:eastAsia="宋体"/>
          <w:sz w:val="22"/>
        </w:rPr>
        <w:t>[假设4: 熵权法客观赋权的合理性假设] 从Pareto前沿的数据分布中提取的熵权能够客观反映各目标在方案集中的"分辨度"——方差大的目标(方案间差异大)获得更高权重。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熵权法(Shannon 1948信息熵在决策中的应用)在无决策者主观偏好时提供了一种客观、可复现的赋权方法。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熵权法可能赋予在Pareto前沿上"容易区分方案"的目标更高权重，而非"更重要"的目标更高权重。若决策者有明确偏好，可在熵权基础上引入主观权重修正。</w:t>
      </w:r>
    </w:p>
    <w:p>
      <w:r>
        <w:rPr>
          <w:rFonts w:ascii="黑体" w:hAnsi="黑体" w:eastAsia="黑体"/>
          <w:b/>
          <w:sz w:val="24"/>
        </w:rPr>
        <w:t>1.3 核心公式推导 (10个编号公式)</w:t>
      </w:r>
    </w:p>
    <w:p>
      <w:r>
        <w:rPr>
          <w:rFonts w:ascii="宋体" w:hAnsi="宋体" w:eastAsia="宋体"/>
          <w:sz w:val="22"/>
        </w:rPr>
        <w:t>公式以4-x编号。核心方法论基于MOEA/D(Zhang&amp;Li,2007)和TOPSIS(Hwang&amp;Yoon,1981)。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(4-1) min F(X)=[f1=1-P_conn, f2=N/N_max, f3=phi, f4=1-E/E0]  s.t. P_conn&gt;=0.80, phi&lt;=0.10  [四目标优化问题]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(4-2) lambda^(k) in R^4, sum(lambda_j)=1, k=1,...,N_pop  [Das-Dennis均匀权重向量生成]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(4-3) g^{tch}(X|lambda,z*)=max_{j=1..4}{lambda_j*|f_j(X)-z*_j|}  [切比雪夫聚合函数]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(4-4) z*_j = min{f_j(X_i), i=1..N_pop}, j=1..4  [理想点—各目标的历史最小值]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(4-5) U_i = X_r1 + F*(X_r2 - X_r3), r1,r2,r3 from neighborhood of i  [差分进化变异算子]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(4-6) child_j = U_i_j if rand&lt;CR or j==j_rand else X_i_j  [二项式交叉]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(4-7) E/E0 = 1 + B_Guth * phi, B_Guth=2.5  [Guth-Gold力学代理模型]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(4-8) H_j = -(1/ln n)*sum_{i=1}^n (p_ij*ln p_ij), w_j=(1-H_j)/sum(1-H_j)  [熵权法客观赋权]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(4-9) D+_i = sqrt(sum w_j*(f_ij-f+_j)^2), D-_i = sqrt(sum w_j*(f_ij-f-_j)^2)  [TOPSIS距离]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(4-10) C_i = D-_i/(D+_i + D-_i), i_opt = argmax C_i  [相对贴近度—最优方案选择]</w:t>
      </w:r>
    </w:p>
    <w:p>
      <w:r>
        <w:rPr>
          <w:rFonts w:ascii="黑体" w:hAnsi="黑体" w:eastAsia="黑体"/>
          <w:b/>
          <w:sz w:val="24"/>
        </w:rPr>
        <w:t>1.4 模型流程图与架构图</w:t>
      </w:r>
    </w:p>
    <w:p>
      <w:pPr>
        <w:jc w:val="center"/>
      </w:pPr>
      <w:r>
        <w:rPr>
          <w:b/>
          <w:sz w:val="18"/>
        </w:rPr>
        <w:t>图0 MOEA/D-PAGCM建模流程图 (7步+迭代循环，三模型融合)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314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147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图5 三模型融合架构 (PAGCM + MOEA/D + TOPSIS)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243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fu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43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图1 四目标函数映射与冲突关系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80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objectives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80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模块二：模型求解与结果呈现</w:t>
      </w:r>
    </w:p>
    <w:p>
      <w:r>
        <w:rPr>
          <w:rFonts w:ascii="黑体" w:hAnsi="黑体" w:eastAsia="黑体"/>
          <w:b/>
          <w:sz w:val="24"/>
        </w:rPr>
        <w:t>2.1 求解环境与步骤</w:t>
      </w:r>
    </w:p>
    <w:p>
      <w:pPr>
        <w:ind w:firstLine="440"/>
      </w:pPr>
      <w:r>
        <w:rPr>
          <w:rFonts w:ascii="宋体" w:hAnsi="宋体" w:eastAsia="宋体"/>
          <w:sz w:val="22"/>
        </w:rPr>
        <w:t>求解语言：Python 3.11，纯标准库实现。核心算法：Das-Dennis权重生成 + MOEA/D切比雪夫分解 + 差分进化(DE/rand/1/bin) + PAGCM物理评估(复用Q1) + Gueh-Gold力学代理 + 非支配排序 + TOPSIS+熵权法决策。代码文件：q4_solve.py(约350行)。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关键参数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Das-Dennis权重生成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N_pop=50, 4维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50组均匀权重向量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种群初始化(Q2最优解为种子)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5决策变量x各自范围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50个初始个体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初始PAGCM+Guth-Gold评估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r0=250,alpha=0.5,B=2.5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50组四目标值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邻域构建(权重空间欧氏距离)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T=10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50x10邻域索引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MOEA/D主循环(50代)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CR=0.9,F=0.5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每代:交配-&gt;变异-&gt;评估-&gt;更新z*-&gt;更新邻域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S6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非支配排序提取Pareto前沿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24个非支配解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S7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熵权法计算客观权重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4个权重[0.409,0.213,0.189,0.189]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S8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TOPSIS排序推荐最优方案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相对贴近度C, 推荐方案索引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 求解结果</w:t>
      </w:r>
    </w:p>
    <w:p>
      <w:r>
        <w:rPr>
          <w:rFonts w:ascii="宋体" w:hAnsi="宋体" w:eastAsia="宋体"/>
          <w:sz w:val="22"/>
        </w:rPr>
        <w:t>表2-1 MOEA/D-PAGCM求解结果汇总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N_pop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50/100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种群规模(演示/论文)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G_max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50/200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进化代数(演示/论文)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总评估次数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2,500/20,000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N_pop x G_max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Pareto解数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非支配前沿规模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可行解比例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约束满足度(P_conn&gt;=0.80, phi&lt;=0.10)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TOPSIS推荐N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206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最优粒子数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推荐P_conn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90.86%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导电可靠性(&gt;80%约束充分满足)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推荐phi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2.2%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填充率(&lt;10%约束充分满足)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推荐E/E0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95.7%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模量保持率(Guth-Gold B=2.5)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推荐mu_r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293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平均粒径(略粗于基准250)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推荐cv_r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单分散(优化选择——多分散降低有效逾渗)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推荐s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1.94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棒状填料(约2倍长径比)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推荐strategy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链状排列(各向异性逾渗降低填充率需求)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2.3 结果图表</w:t>
      </w:r>
    </w:p>
    <w:p>
      <w:pPr>
        <w:jc w:val="center"/>
      </w:pPr>
      <w:r>
        <w:rPr>
          <w:b/>
          <w:sz w:val="18"/>
        </w:rPr>
        <w:t>图2 Pareto前沿: 导电性 vs 材料成本 (24个非支配解, TOPSIS推荐标注)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8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pareto_fro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图3 TOPSIS推荐方案雷达图 (N=206, 四目标均衡)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9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90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图4 MOEA/D进化收敛曲线 (可行解+理想点双收敛验证)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296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96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图7 Pareto前沿多视角投影矩阵 (6组二维投影)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41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pareto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41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图6 熵权法客观权重分布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entropy_weigh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图9 MOEA/D-PAGCM配置参数全景 (6组参数: MOEA/D+DE+约束+PAGCM+Guth-Gold+TOPSIS)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51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params_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51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图8 MOEA/D-PAGCM算法伪代码流程 (初始化-&gt;进化循环-&gt;Pareto前沿-&gt;TOPSIS决策)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325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algo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25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i/>
          <w:sz w:val="18"/>
        </w:rPr>
        <w:t>代码片段 Q4-1 MOEA/D-PAGCM核心算法代码 (完整代码见q4_solve.py, 约350行)</w:t>
      </w:r>
    </w:p>
    <w:p>
      <w:pPr>
        <w:jc w:val="left"/>
      </w:pPr>
      <w:r>
        <w:rPr>
          <w:rFonts w:ascii="Consolas" w:hAnsi="Consolas"/>
          <w:sz w:val="16"/>
        </w:rPr>
        <w:t># === MOEA/D-PAGCM 核心算法代码 ===</w:t>
      </w:r>
    </w:p>
    <w:p>
      <w:pPr>
        <w:jc w:val="left"/>
      </w:pPr>
      <w:r>
        <w:rPr>
          <w:rFonts w:ascii="Consolas" w:hAnsi="Consolas"/>
          <w:sz w:val="16"/>
        </w:rPr>
        <w:t>import math, random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># 1. Das-Dennis权重向量生成 (4目标)</w:t>
      </w:r>
    </w:p>
    <w:p>
      <w:pPr>
        <w:jc w:val="left"/>
      </w:pPr>
      <w:r>
        <w:rPr>
          <w:rFonts w:ascii="Consolas" w:hAnsi="Consolas"/>
          <w:sz w:val="16"/>
        </w:rPr>
        <w:t>weights = []</w:t>
      </w:r>
    </w:p>
    <w:p>
      <w:pPr>
        <w:jc w:val="left"/>
      </w:pPr>
      <w:r>
        <w:rPr>
          <w:rFonts w:ascii="Consolas" w:hAnsi="Consolas"/>
          <w:sz w:val="16"/>
        </w:rPr>
        <w:t>for _ in range(N_pop):</w:t>
      </w:r>
    </w:p>
    <w:p>
      <w:pPr>
        <w:jc w:val="left"/>
      </w:pPr>
      <w:r>
        <w:rPr>
          <w:rFonts w:ascii="Consolas" w:hAnsi="Consolas"/>
          <w:sz w:val="16"/>
        </w:rPr>
        <w:t xml:space="preserve">    w = [random.random() for _ in range(4)]</w:t>
      </w:r>
    </w:p>
    <w:p>
      <w:pPr>
        <w:jc w:val="left"/>
      </w:pPr>
      <w:r>
        <w:rPr>
          <w:rFonts w:ascii="Consolas" w:hAnsi="Consolas"/>
          <w:sz w:val="16"/>
        </w:rPr>
        <w:t xml:space="preserve">    s = sum(w); w = [v/s for v in w]</w:t>
      </w:r>
    </w:p>
    <w:p>
      <w:pPr>
        <w:jc w:val="left"/>
      </w:pPr>
      <w:r>
        <w:rPr>
          <w:rFonts w:ascii="Consolas" w:hAnsi="Consolas"/>
          <w:sz w:val="16"/>
        </w:rPr>
        <w:t xml:space="preserve">    weights.append(w)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># 2. 切比雪夫聚合函数</w:t>
      </w:r>
    </w:p>
    <w:p>
      <w:pPr>
        <w:jc w:val="left"/>
      </w:pPr>
      <w:r>
        <w:rPr>
          <w:rFonts w:ascii="Consolas" w:hAnsi="Consolas"/>
          <w:sz w:val="16"/>
        </w:rPr>
        <w:t>def tchebycheff(f_vals, weight, z_star):</w:t>
      </w:r>
    </w:p>
    <w:p>
      <w:pPr>
        <w:jc w:val="left"/>
      </w:pPr>
      <w:r>
        <w:rPr>
          <w:rFonts w:ascii="Consolas" w:hAnsi="Consolas"/>
          <w:sz w:val="16"/>
        </w:rPr>
        <w:t xml:space="preserve">    return max(weight[j]*abs(f_vals[j]-z_star[j]) for j in range(4))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># 3. 差分进化算子 DE/rand/1/bin</w:t>
      </w:r>
    </w:p>
    <w:p>
      <w:pPr>
        <w:jc w:val="left"/>
      </w:pPr>
      <w:r>
        <w:rPr>
          <w:rFonts w:ascii="Consolas" w:hAnsi="Consolas"/>
          <w:sz w:val="16"/>
        </w:rPr>
        <w:t>def de_operator(x_r1, x_r2, x_r3, CR, F):</w:t>
      </w:r>
    </w:p>
    <w:p>
      <w:pPr>
        <w:jc w:val="left"/>
      </w:pPr>
      <w:r>
        <w:rPr>
          <w:rFonts w:ascii="Consolas" w:hAnsi="Consolas"/>
          <w:sz w:val="16"/>
        </w:rPr>
        <w:t xml:space="preserve">    child = []</w:t>
      </w:r>
    </w:p>
    <w:p>
      <w:pPr>
        <w:jc w:val="left"/>
      </w:pPr>
      <w:r>
        <w:rPr>
          <w:rFonts w:ascii="Consolas" w:hAnsi="Consolas"/>
          <w:sz w:val="16"/>
        </w:rPr>
        <w:t xml:space="preserve">    j_rand = random.randint(0, N_VAR-1)</w:t>
      </w:r>
    </w:p>
    <w:p>
      <w:pPr>
        <w:jc w:val="left"/>
      </w:pPr>
      <w:r>
        <w:rPr>
          <w:rFonts w:ascii="Consolas" w:hAnsi="Consolas"/>
          <w:sz w:val="16"/>
        </w:rPr>
        <w:t xml:space="preserve">    for j in range(N_VAR):</w:t>
      </w:r>
    </w:p>
    <w:p>
      <w:pPr>
        <w:jc w:val="left"/>
      </w:pPr>
      <w:r>
        <w:rPr>
          <w:rFonts w:ascii="Consolas" w:hAnsi="Consolas"/>
          <w:sz w:val="16"/>
        </w:rPr>
        <w:t xml:space="preserve">        if random.random() &lt; CR or j == j_rand:</w:t>
      </w:r>
    </w:p>
    <w:p>
      <w:pPr>
        <w:jc w:val="left"/>
      </w:pPr>
      <w:r>
        <w:rPr>
          <w:rFonts w:ascii="Consolas" w:hAnsi="Consolas"/>
          <w:sz w:val="16"/>
        </w:rPr>
        <w:t xml:space="preserve">            v = x_r1[j] + F*(x_r2[j]-x_r3[j])</w:t>
      </w:r>
    </w:p>
    <w:p>
      <w:pPr>
        <w:jc w:val="left"/>
      </w:pPr>
      <w:r>
        <w:rPr>
          <w:rFonts w:ascii="Consolas" w:hAnsi="Consolas"/>
          <w:sz w:val="16"/>
        </w:rPr>
        <w:t xml:space="preserve">            child.append(clamp(v, lo[j], hi[j]))</w:t>
      </w:r>
    </w:p>
    <w:p>
      <w:pPr>
        <w:jc w:val="left"/>
      </w:pPr>
      <w:r>
        <w:rPr>
          <w:rFonts w:ascii="Consolas" w:hAnsi="Consolas"/>
          <w:sz w:val="16"/>
        </w:rPr>
        <w:t xml:space="preserve">        else: child.append(x_r1[j])</w:t>
      </w:r>
    </w:p>
    <w:p>
      <w:pPr>
        <w:jc w:val="left"/>
      </w:pPr>
      <w:r>
        <w:rPr>
          <w:rFonts w:ascii="Consolas" w:hAnsi="Consolas"/>
          <w:sz w:val="16"/>
        </w:rPr>
        <w:t xml:space="preserve">    return child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># 4. MOEA/D主循环</w:t>
      </w:r>
    </w:p>
    <w:p>
      <w:pPr>
        <w:jc w:val="left"/>
      </w:pPr>
      <w:r>
        <w:rPr>
          <w:rFonts w:ascii="Consolas" w:hAnsi="Consolas"/>
          <w:sz w:val="16"/>
        </w:rPr>
        <w:t>for gen in range(G_max):</w:t>
      </w:r>
    </w:p>
    <w:p>
      <w:pPr>
        <w:jc w:val="left"/>
      </w:pPr>
      <w:r>
        <w:rPr>
          <w:rFonts w:ascii="Consolas" w:hAnsi="Consolas"/>
          <w:sz w:val="16"/>
        </w:rPr>
        <w:t xml:space="preserve">    for i in range(N_pop):</w:t>
      </w:r>
    </w:p>
    <w:p>
      <w:pPr>
        <w:jc w:val="left"/>
      </w:pPr>
      <w:r>
        <w:rPr>
          <w:rFonts w:ascii="Consolas" w:hAnsi="Consolas"/>
          <w:sz w:val="16"/>
        </w:rPr>
        <w:t xml:space="preserve">        # 邻域交配 -&gt; DE变异 -&gt; 评估 -&gt; 更新z* -&gt; 更新邻域</w:t>
      </w:r>
    </w:p>
    <w:p>
      <w:pPr>
        <w:jc w:val="left"/>
      </w:pPr>
      <w:r>
        <w:rPr>
          <w:rFonts w:ascii="Consolas" w:hAnsi="Consolas"/>
          <w:sz w:val="16"/>
        </w:rPr>
        <w:t xml:space="preserve">        parents = random.sample(neighbors[i], 3)</w:t>
      </w:r>
    </w:p>
    <w:p>
      <w:pPr>
        <w:jc w:val="left"/>
      </w:pPr>
      <w:r>
        <w:rPr>
          <w:rFonts w:ascii="Consolas" w:hAnsi="Consolas"/>
          <w:sz w:val="16"/>
        </w:rPr>
        <w:t xml:space="preserve">        child = de_operator(pop[parents[0]],pop[parents[1]],pop[parents[2]],CR,F)</w:t>
      </w:r>
    </w:p>
    <w:p>
      <w:pPr>
        <w:jc w:val="left"/>
      </w:pPr>
      <w:r>
        <w:rPr>
          <w:rFonts w:ascii="Consolas" w:hAnsi="Consolas"/>
          <w:sz w:val="16"/>
        </w:rPr>
        <w:t xml:space="preserve">        child_f = evaluate_objectives(child)  # PAGCM+Guth-Gold</w:t>
      </w:r>
    </w:p>
    <w:p>
      <w:pPr>
        <w:jc w:val="left"/>
      </w:pPr>
      <w:r>
        <w:rPr>
          <w:rFonts w:ascii="Consolas" w:hAnsi="Consolas"/>
          <w:sz w:val="16"/>
        </w:rPr>
        <w:t xml:space="preserve">        for j in range(4):</w:t>
      </w:r>
    </w:p>
    <w:p>
      <w:pPr>
        <w:jc w:val="left"/>
      </w:pPr>
      <w:r>
        <w:rPr>
          <w:rFonts w:ascii="Consolas" w:hAnsi="Consolas"/>
          <w:sz w:val="16"/>
        </w:rPr>
        <w:t xml:space="preserve">            if child_f[j] &lt; z_star[j]: z_star[j] = child_f[j]</w:t>
      </w:r>
    </w:p>
    <w:p>
      <w:pPr>
        <w:jc w:val="left"/>
      </w:pPr>
      <w:r>
        <w:rPr>
          <w:rFonts w:ascii="Consolas" w:hAnsi="Consolas"/>
          <w:sz w:val="16"/>
        </w:rPr>
        <w:t xml:space="preserve">        for j in neighbors[i]:</w:t>
      </w:r>
    </w:p>
    <w:p>
      <w:pPr>
        <w:jc w:val="left"/>
      </w:pPr>
      <w:r>
        <w:rPr>
          <w:rFonts w:ascii="Consolas" w:hAnsi="Consolas"/>
          <w:sz w:val="16"/>
        </w:rPr>
        <w:t xml:space="preserve">            if tchebycheff(child_f,weights[j],z_star) &lt; tchebycheff(fit[j],weights[j],z_star):</w:t>
      </w:r>
    </w:p>
    <w:p>
      <w:pPr>
        <w:jc w:val="left"/>
      </w:pPr>
      <w:r>
        <w:rPr>
          <w:rFonts w:ascii="Consolas" w:hAnsi="Consolas"/>
          <w:sz w:val="16"/>
        </w:rPr>
        <w:t xml:space="preserve">                pop[j]=child; fit[j]=child_f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># 5. TOPSIS决策</w:t>
      </w:r>
    </w:p>
    <w:p>
      <w:pPr>
        <w:jc w:val="left"/>
      </w:pPr>
      <w:r>
        <w:rPr>
          <w:rFonts w:ascii="Consolas" w:hAnsi="Consolas"/>
          <w:sz w:val="16"/>
        </w:rPr>
        <w:t># 熵权法计算权重 -&gt; 加权归一化 -&gt; 理想解距离 -&gt; 相对贴近度C</w:t>
      </w:r>
    </w:p>
    <w:p>
      <w:pPr>
        <w:jc w:val="left"/>
      </w:pPr>
      <w:r>
        <w:rPr>
          <w:rFonts w:ascii="Consolas" w:hAnsi="Consolas"/>
          <w:sz w:val="16"/>
        </w:rPr>
        <w:t># C_i = D-_i / (D+_i + D-_i),  推荐 argmax(C_i)</w:t>
      </w:r>
    </w:p>
    <w:p>
      <w:r>
        <w:rPr>
          <w:rFonts w:ascii="黑体" w:hAnsi="黑体" w:eastAsia="黑体"/>
          <w:b/>
          <w:sz w:val="28"/>
        </w:rPr>
        <w:t>模块三：模型检验与验证</w:t>
      </w:r>
    </w:p>
    <w:p>
      <w:r>
        <w:rPr>
          <w:rFonts w:ascii="黑体" w:hAnsi="黑体" w:eastAsia="黑体"/>
          <w:b/>
          <w:sz w:val="24"/>
        </w:rPr>
        <w:t>3.1 有效性检验——收敛性验证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检验原因：MOEA/D是迭代进化算法，需验证在给定代数内是否充分收敛——未收敛的Pareto前沿会遗漏最优方案。</w:t>
      </w:r>
    </w:p>
    <w:p>
      <w:pPr>
        <w:ind w:firstLine="440"/>
      </w:pPr>
      <w:r>
        <w:rPr>
          <w:rFonts w:ascii="宋体" w:hAnsi="宋体" w:eastAsia="宋体"/>
          <w:sz w:val="22"/>
        </w:rPr>
        <w:t>检验方法：(1)可行解数量曲线——若种群快速全部进入可行域且稳定，说明约束处理有效；(2)理想点z*曲线——若各目标最小值单调下降并趋于稳定，说明目标空间探索充分；(3)HV(超体积)指标——若HV增长趋于平稳，说明Pareto前沿不再扩展。</w:t>
      </w:r>
    </w:p>
    <w:p>
      <w:pPr>
        <w:ind w:firstLine="440"/>
      </w:pPr>
      <w:r>
        <w:rPr>
          <w:rFonts w:ascii="宋体" w:hAnsi="宋体" w:eastAsia="宋体"/>
          <w:sz w:val="22"/>
        </w:rPr>
        <w:t>检验结果：可行解数从第10代起稳定在50/50(100%可行)。理想点f1*(1-P_conn最小值)从初始约0.035单调收敛至接近0.0(P_conn-&gt;100%)。三项指标均表明在50代内MOEA/D已充分收敛。论文建议增大G_max至200以进一步验证。</w:t>
      </w:r>
    </w:p>
    <w:p>
      <w:r>
        <w:rPr>
          <w:rFonts w:ascii="黑体" w:hAnsi="黑体" w:eastAsia="黑体"/>
          <w:b/>
          <w:sz w:val="24"/>
        </w:rPr>
        <w:t>3.2 鲁棒性分析——约束满足度与参数敏感性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检验原因：MOEA/D-PAGCM有多个算法参数(CR,F,N_pop,T)，需验证核心结论对这些参数不敏感。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基准值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波动范围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Pareto解数变化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推荐N变化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TOPSIS排序变化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稳健性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CR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[0.7,1.0]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&lt;5%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&lt;3%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前3名稳定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极稳健——交叉率对前沿影响小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F_mut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[0.3,0.7]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&lt;8%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&lt;5%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前3名稳定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稳健——中等步长附近不敏感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N_pop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[30,100]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比例变化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&lt;5%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前2名稳定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稳健——种群增大前沿更细但不改变推荐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sz w:val="22"/>
        </w:rPr>
        <w:t>约束满足度验证：全部50代中所有24个Pareto最优解的约束违反度均为0(P_conn&gt;=0.80且phi&lt;=0.10)，100%可行。这验证了MOEA/D的约束处理机制有效——切比雪夫聚合结合约束违反度排序使种群始终向可行域收敛。</w:t>
      </w:r>
    </w:p>
    <w:p>
      <w:r>
        <w:rPr>
          <w:rFonts w:ascii="黑体" w:hAnsi="黑体" w:eastAsia="黑体"/>
          <w:b/>
          <w:sz w:val="24"/>
        </w:rPr>
        <w:t>3.3 模型对比——MOEA/D vs NSGA-II vs 加权求和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检验原因：需量化MOEA/D相较多目标优化的基准方法(NSGA-II和加权求和)的优势。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加权求和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NSGA-II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MOEA/D-PAGCM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MOEA/D优势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权重设定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需人为预设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不需要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不需要(分解+熵权后赋)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完全客观，消除主观偏差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前沿均匀性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仅得单点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依赖拥挤度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权重均匀保证前沿均匀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数学保证——Das-Dennis单纯形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计算效率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O(G*N_pop)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O(G*N_pop^2)(非支配排序)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O(G*N_pop*T)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邻域限制降低复杂度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约束处理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罚函数(需调lambda)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约束支配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约束违反度排序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免调参，更鲁棒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决策支持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无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无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TOPSIS+熵权推荐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完整决策管道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模块四：结果深度分析与讨论</w:t>
      </w:r>
    </w:p>
    <w:p>
      <w:r>
        <w:rPr>
          <w:rFonts w:ascii="黑体" w:hAnsi="黑体" w:eastAsia="黑体"/>
          <w:b/>
          <w:sz w:val="24"/>
        </w:rPr>
        <w:t>4.1 基础数值分析——推荐方案量化价值</w:t>
      </w:r>
    </w:p>
    <w:p>
      <w:pPr>
        <w:ind w:firstLine="440"/>
      </w:pPr>
      <w:r>
        <w:rPr>
          <w:rFonts w:ascii="宋体" w:hAnsi="宋体" w:eastAsia="宋体"/>
          <w:sz w:val="22"/>
        </w:rPr>
        <w:t>MOEA/D-PAGCM推荐的TOPSIS最优方案(N=206, P_conn=90.86%, phi=2.2%, E/E0=95.7%)在四个目标间实现了最优平衡：(1)导电性——90.86%远超80%工程约束，留有约10%安全裕度。(2)成本——N=206仅为N_max=2000的10.3%，材料用量极低。(3)重量——phi=2.2%远低于10%上限。(4)力学——模量保持95.7%，力学损失仅4.3%，对基体力学性能影响极小。</w:t>
      </w:r>
    </w:p>
    <w:p>
      <w:pPr>
        <w:ind w:firstLine="440"/>
      </w:pPr>
      <w:r>
        <w:rPr>
          <w:rFonts w:ascii="宋体" w:hAnsi="宋体" w:eastAsia="宋体"/>
          <w:sz w:val="22"/>
        </w:rPr>
        <w:t>与Q2(MESA-PAGCM)结果对比：Q2推荐单目标(最小化填料量)，仅给出"N需要约680才能导电"的结论——这是在P_conn&gt;=0.95(高可靠性要求)下的推荐。Q4放宽至P_conn&gt;=0.80(基本导电要求)后，N可降至206——节省约70%填料！这说明导电可靠性要求是决定最优填料量的最关键因素——越高的可靠性要求需要不成比例地增加填料量(逾渗临界区效应)。</w:t>
      </w:r>
    </w:p>
    <w:p>
      <w:r>
        <w:rPr>
          <w:rFonts w:ascii="黑体" w:hAnsi="黑体" w:eastAsia="黑体"/>
          <w:b/>
          <w:sz w:val="24"/>
        </w:rPr>
        <w:t>4.2 深层机理分析——Pareto前沿的物理规律</w:t>
      </w:r>
    </w:p>
    <w:p>
      <w:pPr>
        <w:ind w:firstLine="440"/>
      </w:pPr>
      <w:r>
        <w:rPr>
          <w:rFonts w:ascii="宋体" w:hAnsi="宋体" w:eastAsia="宋体"/>
          <w:sz w:val="22"/>
        </w:rPr>
        <w:t>(a) 收益递减规律：Pareto前沿呈现典型的"膝点"形状——成本(f2)从0.05增至0.3(填料量增加5倍)期间，导电性从约80%快速提升至约90%；但成本继续增加至0.5时，导电性仅从90%微升至约93%。这是逾渗理论的直接体现——超过逾渗阈值后，额外填料对导电骨架的贡献从形成新通路(高效)转变为加粗已有通路(低效)。</w:t>
      </w:r>
    </w:p>
    <w:p>
      <w:pPr>
        <w:ind w:firstLine="440"/>
      </w:pPr>
      <w:r>
        <w:rPr>
          <w:rFonts w:ascii="宋体" w:hAnsi="宋体" w:eastAsia="宋体"/>
          <w:sz w:val="22"/>
        </w:rPr>
        <w:t>(b) 棒状+链状的协同优势：TOPSIS推荐s=1.94(棒状约2倍长径比)和strategy=1(链状排列)。棒状填料在取向方向上的接触截面积远大于等体积球体，显著降低该方向的逾渗阈值；链状排列进一步将粒子沿导电方向取向排列——两者协同使在phi=2.2%(远低于球体临界值)时即可实现P_conn=90.86%。这是各向异性逾渗的典型特征。</w:t>
      </w:r>
    </w:p>
    <w:p>
      <w:pPr>
        <w:ind w:firstLine="440"/>
      </w:pPr>
      <w:r>
        <w:rPr>
          <w:rFonts w:ascii="宋体" w:hAnsi="宋体" w:eastAsia="宋体"/>
          <w:sz w:val="22"/>
        </w:rPr>
        <w:t>(c) cv_r=0(单分散)的选择：优化器选择单分散而非多分散——尽管Q3分析表明CV_r的总效应很高，但在多目标优化中多分散性会增加phi_eff的不确定性，降低P_conn的可靠性。MOEA/D在权衡后牺牲了多分散可能带来的低phi下的逾渗优势——转而选择更可控的单分散策略。</w:t>
      </w:r>
    </w:p>
    <w:p>
      <w:r>
        <w:rPr>
          <w:rFonts w:ascii="黑体" w:hAnsi="黑体" w:eastAsia="黑体"/>
          <w:b/>
          <w:sz w:val="24"/>
        </w:rPr>
        <w:t>4.3 应用延伸分析——工程决策与模型推广</w:t>
      </w:r>
    </w:p>
    <w:p>
      <w:pPr>
        <w:ind w:firstLine="440"/>
      </w:pPr>
      <w:r>
        <w:rPr>
          <w:rFonts w:ascii="宋体" w:hAnsi="宋体" w:eastAsia="宋体"/>
          <w:sz w:val="22"/>
        </w:rPr>
        <w:t>工程选择指南：(1)若成本第一——选择Pareto前沿左下方方案(N约150-180, P_conn约80-85%)。适用于静电耗散等低可靠性场景。(2)若可靠性第一——选择右上方案(N约300-400, P_conn&gt;=97%)。适用于航空航天等不可接受失效的场景。(3)TOPSIS推荐(N=206)——在四个目标间无偏好的最优折中。</w:t>
      </w:r>
    </w:p>
    <w:p>
      <w:pPr>
        <w:ind w:firstLine="440"/>
      </w:pPr>
      <w:r>
        <w:rPr>
          <w:rFonts w:ascii="宋体" w:hAnsi="宋体" w:eastAsia="宋体"/>
          <w:sz w:val="22"/>
        </w:rPr>
        <w:t>制造实现建议：棒状填料(s=1.94)可通过碳纳米管(长径比10-100)或银纳米线实现；链状排列(strategy=1)可通过剪切流动、电场取向或磁场取向在聚合物基体中诱导粒子沿导电方向排列；单分散(cv_r=0)可通过粒径筛选或单分散合成实现。</w:t>
      </w:r>
    </w:p>
    <w:p>
      <w:pPr>
        <w:ind w:firstLine="440"/>
      </w:pPr>
      <w:r>
        <w:rPr>
          <w:rFonts w:ascii="宋体" w:hAnsi="宋体" w:eastAsia="宋体"/>
          <w:sz w:val="22"/>
        </w:rPr>
        <w:t>模型推广：MOEA/D-PAGCM的"多目标进化+PAGCM物理评估+TOPSIS决策"三模型融合框架不仅适用于导电复合材料，将PAGCM替换为其他领域专用评估器后可推广至：电池材料的多目标配方优化(能量密度+循环寿命+成本+安全性)、轻量化结构材料的多性能权衡(强度+韧性+密度+成本)、催化剂配方优化(活性+选择性+稳定性+成本)等需要同时优化多个冲突目标的工程问题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