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5760"/>
        <w:gridCol w:w="1579"/>
      </w:tblGrid>
      <w:tr w14:paraId="77F0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shd w:val="clear" w:color="auto" w:fill="auto"/>
            <w:vAlign w:val="center"/>
          </w:tcPr>
          <w:p w14:paraId="228A9BA0">
            <w:pPr>
              <w:jc w:val="both"/>
            </w:pPr>
            <w:bookmarkStart w:id="0" w:name="_GoBack"/>
            <w:bookmarkEnd w:id="0"/>
            <w:r>
              <w:rPr>
                <w:rFonts w:hint="eastAsia"/>
              </w:rPr>
              <w:t>所属类别</w:t>
            </w:r>
          </w:p>
        </w:tc>
        <w:tc>
          <w:tcPr>
            <w:tcW w:w="5760" w:type="dxa"/>
            <w:vMerge w:val="restart"/>
            <w:shd w:val="clear" w:color="auto" w:fill="auto"/>
            <w:vAlign w:val="center"/>
          </w:tcPr>
          <w:p w14:paraId="06E8C962">
            <w:pPr>
              <w:jc w:val="center"/>
              <w:rPr>
                <w:rFonts w:eastAsia="黑体"/>
                <w:b/>
                <w:bCs/>
                <w:sz w:val="28"/>
                <w:szCs w:val="28"/>
              </w:rPr>
            </w:pPr>
            <w:r>
              <w:rPr>
                <w:rFonts w:eastAsia="黑体"/>
                <w:b/>
                <w:bCs/>
                <w:sz w:val="28"/>
                <w:szCs w:val="28"/>
              </w:rPr>
              <w:t>202</w:t>
            </w:r>
            <w:r>
              <w:rPr>
                <w:rFonts w:hint="eastAsia" w:eastAsia="黑体"/>
                <w:b/>
                <w:bCs/>
                <w:sz w:val="28"/>
                <w:szCs w:val="28"/>
                <w:lang w:val="en-US" w:eastAsia="zh-CN"/>
              </w:rPr>
              <w:t>6</w:t>
            </w:r>
            <w:r>
              <w:rPr>
                <w:rFonts w:hAnsi="黑体" w:eastAsia="黑体"/>
                <w:b/>
                <w:bCs/>
                <w:sz w:val="28"/>
                <w:szCs w:val="28"/>
              </w:rPr>
              <w:t>年</w:t>
            </w:r>
            <w:r>
              <w:rPr>
                <w:rFonts w:eastAsia="黑体"/>
                <w:b/>
                <w:bCs/>
                <w:sz w:val="28"/>
                <w:szCs w:val="28"/>
              </w:rPr>
              <w:t>“</w:t>
            </w:r>
            <w:r>
              <w:rPr>
                <w:rFonts w:hAnsi="黑体" w:eastAsia="黑体"/>
                <w:b/>
                <w:bCs/>
                <w:sz w:val="28"/>
                <w:szCs w:val="28"/>
              </w:rPr>
              <w:t>华数杯</w:t>
            </w:r>
            <w:r>
              <w:rPr>
                <w:rFonts w:eastAsia="黑体"/>
                <w:b/>
                <w:bCs/>
                <w:sz w:val="28"/>
                <w:szCs w:val="28"/>
              </w:rPr>
              <w:t>”</w:t>
            </w:r>
            <w:r>
              <w:rPr>
                <w:rFonts w:hAnsi="黑体" w:eastAsia="黑体"/>
                <w:b/>
                <w:bCs/>
                <w:sz w:val="28"/>
                <w:szCs w:val="28"/>
              </w:rPr>
              <w:t>大学生数学建模竞赛</w:t>
            </w:r>
          </w:p>
        </w:tc>
        <w:tc>
          <w:tcPr>
            <w:tcW w:w="1579" w:type="dxa"/>
            <w:shd w:val="clear" w:color="auto" w:fill="auto"/>
            <w:vAlign w:val="center"/>
          </w:tcPr>
          <w:p w14:paraId="66495D50">
            <w:pPr>
              <w:jc w:val="both"/>
            </w:pPr>
            <w:r>
              <w:rPr>
                <w:rFonts w:hint="eastAsia"/>
              </w:rPr>
              <w:t>参赛编号</w:t>
            </w:r>
          </w:p>
        </w:tc>
      </w:tr>
      <w:tr w14:paraId="53C0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728" w:type="dxa"/>
            <w:shd w:val="clear" w:color="auto" w:fill="auto"/>
            <w:vAlign w:val="center"/>
          </w:tcPr>
          <w:p w14:paraId="576D4A71">
            <w:pPr>
              <w:jc w:val="both"/>
              <w:rPr>
                <w:rFonts w:hint="eastAsia" w:eastAsia="宋体"/>
                <w:sz w:val="18"/>
                <w:szCs w:val="18"/>
                <w:lang w:val="en-US" w:eastAsia="zh-CN"/>
              </w:rPr>
            </w:pPr>
            <w:r>
              <w:rPr>
                <w:rFonts w:hint="eastAsia"/>
                <w:sz w:val="18"/>
                <w:szCs w:val="18"/>
                <w:lang w:val="en-US" w:eastAsia="zh-CN"/>
              </w:rPr>
              <w:t>本科组</w:t>
            </w:r>
          </w:p>
        </w:tc>
        <w:tc>
          <w:tcPr>
            <w:tcW w:w="5760" w:type="dxa"/>
            <w:vMerge w:val="continue"/>
            <w:shd w:val="clear" w:color="auto" w:fill="auto"/>
            <w:vAlign w:val="center"/>
          </w:tcPr>
          <w:p w14:paraId="750DE895">
            <w:pPr>
              <w:jc w:val="center"/>
            </w:pPr>
          </w:p>
        </w:tc>
        <w:tc>
          <w:tcPr>
            <w:tcW w:w="1579" w:type="dxa"/>
            <w:shd w:val="clear" w:color="auto" w:fill="auto"/>
            <w:vAlign w:val="center"/>
          </w:tcPr>
          <w:p w14:paraId="7881FADA">
            <w:pPr>
              <w:ind w:left="0" w:leftChars="0" w:firstLine="0" w:firstLineChars="0"/>
              <w:jc w:val="center"/>
              <w:rPr>
                <w:rFonts w:hint="default" w:eastAsia="宋体"/>
                <w:lang w:val="en-US" w:eastAsia="zh-CN"/>
              </w:rPr>
            </w:pPr>
            <w:r>
              <w:rPr>
                <w:rFonts w:hint="eastAsia"/>
              </w:rPr>
              <w:t>C</w:t>
            </w:r>
            <w:r>
              <w:t>M</w:t>
            </w:r>
            <w:r>
              <w:rPr>
                <w:rFonts w:hint="eastAsia"/>
                <w:lang w:val="en-US" w:eastAsia="zh-CN"/>
              </w:rPr>
              <w:t>2604582</w:t>
            </w:r>
          </w:p>
        </w:tc>
      </w:tr>
    </w:tbl>
    <w:p w14:paraId="2F421585">
      <w:pPr>
        <w:jc w:val="center"/>
      </w:pPr>
    </w:p>
    <w:p w14:paraId="2878337F">
      <w:pPr>
        <w:pStyle w:val="3"/>
        <w:spacing w:line="240" w:lineRule="auto"/>
        <w:jc w:val="center"/>
        <w:rPr>
          <w:rFonts w:hint="eastAsia" w:ascii="宋体" w:hAnsi="宋体" w:eastAsia="宋体" w:cs="宋体"/>
          <w:b/>
          <w:bCs/>
          <w:sz w:val="28"/>
          <w:szCs w:val="28"/>
        </w:rPr>
      </w:pPr>
      <w:r>
        <w:rPr>
          <w:rFonts w:hint="eastAsia" w:ascii="宋体" w:hAnsi="宋体" w:eastAsia="宋体" w:cs="宋体"/>
          <w:b/>
          <w:bCs/>
          <w:sz w:val="28"/>
          <w:szCs w:val="28"/>
        </w:rPr>
        <w:t>基于几何连通图模型的微构体导电逾渗判定与优化研究</w:t>
      </w:r>
    </w:p>
    <w:p w14:paraId="355F67FC">
      <w:pPr>
        <w:pStyle w:val="4"/>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摘要</w:t>
      </w:r>
    </w:p>
    <w:p w14:paraId="3A74026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本文针对微构体中导电介质的逾渗导通与优化问题，提出几何连通图模型（GCPM）及其蒙特卡洛扩展（MC-GCPM），系统研究金属A柱体与金属B球体在微构体中的导电行为。研究分四问递进展开。</w:t>
      </w:r>
    </w:p>
    <w:p w14:paraId="7FB3B2F9">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问题一（确定性逾渗判定）</w:t>
      </w:r>
      <w:r>
        <w:rPr>
          <w:rFonts w:hint="eastAsia" w:ascii="宋体" w:hAnsi="宋体" w:eastAsia="宋体" w:cs="宋体"/>
          <w:sz w:val="24"/>
          <w:szCs w:val="24"/>
        </w:rPr>
        <w:t>：对附件三组给定坐标配置执行GCPM分析。组1（12根）不导通——左右电极各有连接但缺乏体相桥接；组2（49根）以路径5→14→33（2跳）实现逾渗；组3（535根）形成含189根柱体的大规模导电网络（路径62→263→215→350，3跳）。逾渗阈值区间极低，源于附件配置中柱体端点的电极成核特征。</w:t>
      </w:r>
    </w:p>
    <w:p w14:paraId="36A39866">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问题二（随机逾渗与标度理论）</w:t>
      </w:r>
      <w:r>
        <w:rPr>
          <w:rFonts w:hint="eastAsia" w:ascii="宋体" w:hAnsi="宋体" w:eastAsia="宋体" w:cs="宋体"/>
          <w:sz w:val="24"/>
          <w:szCs w:val="24"/>
        </w:rPr>
        <w:t>：MC-GCPM对0.50%、0.60%、0.70%、1.00%四种体积分数各执行500次独立随机试验，导通概率分别为12.20%、31.80%、63.60%和100.0%。实测逾渗阈值约0.66%，标度宽度约0.122%。随机填充阈值显著高于问题一的确定性阈值——该差异源于电极成核效应。</w:t>
      </w:r>
    </w:p>
    <w:p w14:paraId="54A24892">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问题三（临界体积分数定位）</w:t>
      </w:r>
      <w:r>
        <w:rPr>
          <w:rFonts w:hint="eastAsia" w:ascii="宋体" w:hAnsi="宋体" w:eastAsia="宋体" w:cs="宋体"/>
          <w:sz w:val="24"/>
          <w:szCs w:val="24"/>
        </w:rPr>
        <w:t>：自适应二分搜索（粗筛+CI判定二分+精验证），以Clopper-Pearson精确置信区间为决策依据，确定最小体积分数为0.82%（N=580根）。标度理论零MC外推预测0.816%，与MC结果仅差0.004个百分点。</w:t>
      </w:r>
    </w:p>
    <w:p w14:paraId="2E1C7F66">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问题四（双介质成本优化）</w:t>
      </w:r>
      <w:r>
        <w:rPr>
          <w:rFonts w:hint="eastAsia" w:ascii="宋体" w:hAnsi="宋体" w:eastAsia="宋体" w:cs="宋体"/>
          <w:sz w:val="24"/>
          <w:szCs w:val="24"/>
        </w:rPr>
        <w:t>：系统扫描发现纯B球体逾渗效率极低，所有混合A+B方案成本均高于纯A基准（8.61元）。逾渗效率比分析（约44倍）解释了为何B的21倍价格优势不足以扭转逾渗效率劣势。最优配比为纯金属A：0.82%，580根，总成本8.61元。</w:t>
      </w:r>
    </w:p>
    <w:p w14:paraId="77FA8238">
      <w:pPr>
        <w:spacing w:line="240" w:lineRule="auto"/>
        <w:ind w:firstLine="420"/>
        <w:jc w:val="both"/>
        <w:rPr>
          <w:rFonts w:hint="eastAsia" w:ascii="宋体" w:hAnsi="宋体" w:eastAsia="宋体" w:cs="宋体"/>
          <w:b/>
          <w:bCs/>
          <w:sz w:val="24"/>
          <w:szCs w:val="24"/>
        </w:rPr>
      </w:pPr>
      <w:r>
        <w:rPr>
          <w:rFonts w:hint="eastAsia" w:ascii="宋体" w:hAnsi="宋体" w:eastAsia="宋体" w:cs="宋体"/>
          <w:b/>
          <w:bCs/>
          <w:sz w:val="24"/>
          <w:szCs w:val="24"/>
        </w:rPr>
        <w:t>关键词：几何连通图模型（GCPM）；蒙特卡洛逾渗；标度理论；Clopper-Pearson置信区间；二分搜索；双介质成本优化</w:t>
      </w:r>
    </w:p>
    <w:p w14:paraId="73E18EBB">
      <w:pPr>
        <w:pStyle w:val="4"/>
        <w:spacing w:line="240" w:lineRule="auto"/>
        <w:rPr>
          <w:rFonts w:hint="eastAsia" w:ascii="宋体" w:hAnsi="宋体" w:eastAsia="宋体" w:cs="宋体"/>
          <w:b/>
          <w:sz w:val="24"/>
          <w:szCs w:val="24"/>
        </w:rPr>
      </w:pPr>
    </w:p>
    <w:p w14:paraId="521B7BA3">
      <w:pPr>
        <w:pStyle w:val="4"/>
        <w:spacing w:line="240" w:lineRule="auto"/>
        <w:rPr>
          <w:rFonts w:hint="eastAsia" w:ascii="宋体" w:hAnsi="宋体" w:eastAsia="宋体" w:cs="宋体"/>
          <w:b/>
          <w:sz w:val="24"/>
          <w:szCs w:val="24"/>
        </w:rPr>
      </w:pPr>
    </w:p>
    <w:p w14:paraId="66FB3DA4">
      <w:pPr>
        <w:pStyle w:val="4"/>
        <w:spacing w:line="240" w:lineRule="auto"/>
        <w:rPr>
          <w:rFonts w:hint="eastAsia" w:ascii="宋体" w:hAnsi="宋体" w:eastAsia="宋体" w:cs="宋体"/>
          <w:b/>
          <w:sz w:val="24"/>
          <w:szCs w:val="24"/>
        </w:rPr>
      </w:pPr>
    </w:p>
    <w:p w14:paraId="2BAB5DEC">
      <w:pPr>
        <w:rPr>
          <w:rFonts w:hint="eastAsia"/>
        </w:rPr>
      </w:pPr>
    </w:p>
    <w:p w14:paraId="7A397EC3">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一、</w:t>
      </w:r>
      <w:r>
        <w:rPr>
          <w:rFonts w:hint="eastAsia" w:ascii="宋体" w:hAnsi="宋体" w:eastAsia="宋体" w:cs="宋体"/>
          <w:b/>
          <w:sz w:val="24"/>
          <w:szCs w:val="24"/>
        </w:rPr>
        <w:t>问题重述</w:t>
      </w:r>
    </w:p>
    <w:p w14:paraId="37C61CE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1.1 微构体模型</w:t>
      </w:r>
    </w:p>
    <w:p w14:paraId="4354A04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研究对象为边长10000 nm的立方体微构体。X=-5000 nm和X=+5000 nm两个相对面为电极面，其余四面绝缘。内部可填充两种导电介质：金属A为直圆柱体（长5000 nm，底面半径30 nm），金属B为球体（半径200 nm）。所有导电介质可分布在微构体内部的任意位置和任意方向，超出立方体边界的部分按截断规则处理。两导电介质表面最短距离不超过1.8 nm时隧穿导通。微构体导通定义为存在从左电极到右电极的连续导电通路。</w:t>
      </w:r>
    </w:p>
    <w:p w14:paraId="685E0B6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1.2 四个子问题</w:t>
      </w:r>
    </w:p>
    <w:p w14:paraId="022478A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问题一：若微构体中的导电介质只有金属A，附件中给出了三组金属A的坐标数据。试分析每组配置下该微构体是否导通，并给出其导通概率。</w:t>
      </w:r>
    </w:p>
    <w:p w14:paraId="7CE2E61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问题二：在微构体中继续添加金属A，体积分数依次取0.50%、0.60%、0.70%和1.00%。计算每种体积分数下微构体的导通概率。</w:t>
      </w:r>
    </w:p>
    <w:p w14:paraId="4C5B8B8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问题三：在仅含金属A的条件下，计算使微构体导通概率不低于90%所需的最小体积分数。结果精确至百分号后两位。</w:t>
      </w:r>
    </w:p>
    <w:p w14:paraId="1BB4CB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问题四：微构体中同时含有金属A（成本1.05元/立方微米）和金属B（成本0.05元/立方微米）。试计算在导通概率不低于90%的前提下，两种介质的体积分数为多少时，使填充导电介质的总成本最低。</w:t>
      </w:r>
    </w:p>
    <w:p w14:paraId="682518BF">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二、</w:t>
      </w:r>
      <w:r>
        <w:rPr>
          <w:rFonts w:hint="eastAsia" w:ascii="宋体" w:hAnsi="宋体" w:eastAsia="宋体" w:cs="宋体"/>
          <w:b/>
          <w:sz w:val="24"/>
          <w:szCs w:val="24"/>
        </w:rPr>
        <w:t xml:space="preserve"> 问题分析</w:t>
      </w:r>
    </w:p>
    <w:p w14:paraId="1E80A914">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2.1 总体思路</w:t>
      </w:r>
    </w:p>
    <w:p>
      <w:pPr>
        <w:jc w:val="center"/>
      </w:pPr>
      <w:r>
        <w:rPr>
          <w:b/>
          <w:sz w:val="18"/>
        </w:rPr>
        <w:t>图7 四问递进关系与方法链（确定性连通判定 -&gt; 不确定统计分析 -&gt; 临界点精确定位 -&gt; 双因素成本优化）</w:t>
      </w:r>
    </w:p>
    <w:p>
      <w:pPr>
        <w:jc w:val="center"/>
      </w:pPr>
      <w:r>
        <w:drawing>
          <wp:inline xmlns:a="http://schemas.openxmlformats.org/drawingml/2006/main" xmlns:pic="http://schemas.openxmlformats.org/drawingml/2006/picture">
            <wp:extent cx="5029200" cy="1943801"/>
            <wp:docPr id="8" name="Picture 8"/>
            <wp:cNvGraphicFramePr>
              <a:graphicFrameLocks noChangeAspect="1"/>
            </wp:cNvGraphicFramePr>
            <a:graphic>
              <a:graphicData uri="http://schemas.openxmlformats.org/drawingml/2006/picture">
                <pic:pic>
                  <pic:nvPicPr>
                    <pic:cNvPr id="0" name="v4_fig4_progression.png"/>
                    <pic:cNvPicPr/>
                  </pic:nvPicPr>
                  <pic:blipFill>
                    <a:blip r:embed="rId18"/>
                    <a:stretch>
                      <a:fillRect/>
                    </a:stretch>
                  </pic:blipFill>
                  <pic:spPr>
                    <a:xfrm>
                      <a:off x="0" y="0"/>
                      <a:ext cx="5029200" cy="1943801"/>
                    </a:xfrm>
                    <a:prstGeom prst="rect"/>
                  </pic:spPr>
                </pic:pic>
              </a:graphicData>
            </a:graphic>
          </wp:inline>
        </w:drawing>
      </w:r>
    </w:p>
    <w:p/>
    <w:p w14:paraId="6C65614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个子问题构成从确定性到随机性、从单介质到双介质、从分析到优化的递进逻辑链。问题一验证GCPM的几何精度和逾渗判定能力；问题二扩展至随机填充，通过蒙特卡洛揭示逾渗转变的统计规律；问题三引入优化搜索，精确定位临界体积分数；问题四扩展至双变量空间，求解成本最优配比。</w:t>
      </w:r>
    </w:p>
    <w:p w14:paraId="7203E4EA">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2.2 问题一分析</w:t>
      </w:r>
    </w:p>
    <w:p w14:paraId="2437B96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高长径比柱体在三维空间中的精确几何连通性判定。柱体轴线为任意取向线段，最短距离存在多模态特征（内垂足、端点-线段、平行退化），简化近似不可靠。思路框架：GCPM采用精确几何（GMP算法）+空间索引（KD-Tree）+高效聚合（并查集）三层架构。</w:t>
      </w:r>
    </w:p>
    <w:p w14:paraId="0D42F043">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2.3 问题二分析</w:t>
      </w:r>
    </w:p>
    <w:p w14:paraId="5FC729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随机性引入后的统计推断与计算效率之间的张力。极端概率处Wald置信区间失效，需引入精确二项方法。思路框架：MC-GCPM在GCPM外层增加蒙特卡洛循环，以标度理论和排除体积理论交叉验证，Clopper-Pearson精确置信区间处理边界概率。</w:t>
      </w:r>
    </w:p>
    <w:p w14:paraId="54015F2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2.4 问题三分析</w:t>
      </w:r>
    </w:p>
    <w:p w14:paraId="6406B3A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统计不确定性下的二分决策——P的抽样误差可能导致过边界回退（如0.806%处300次MC得90.33%，500次验证降至88.60%）。思路框架：三阶段自适应采样（粗筛→CI判定二分搜索→精验证），标度理论外推作为零MC成本的交叉验证。</w:t>
      </w:r>
    </w:p>
    <w:p w14:paraId="6190F668">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2.5 问题四分析</w:t>
      </w:r>
    </w:p>
    <w:p>
      <w:pPr>
        <w:jc w:val="center"/>
      </w:pPr>
      <w:r>
        <w:rPr>
          <w:b/>
          <w:sz w:val="18"/>
        </w:rPr>
        <w:t>图8 双因素成本优化——A/B介质成本与导通效率对比（A效率约为B的44倍）</w:t>
      </w:r>
    </w:p>
    <w:p>
      <w:pPr>
        <w:jc w:val="center"/>
      </w:pPr>
      <w:r>
        <w:drawing>
          <wp:inline xmlns:a="http://schemas.openxmlformats.org/drawingml/2006/main" xmlns:pic="http://schemas.openxmlformats.org/drawingml/2006/picture">
            <wp:extent cx="4572000" cy="2120043"/>
            <wp:docPr id="7" name="Picture 7"/>
            <wp:cNvGraphicFramePr>
              <a:graphicFrameLocks noChangeAspect="1"/>
            </wp:cNvGraphicFramePr>
            <a:graphic>
              <a:graphicData uri="http://schemas.openxmlformats.org/drawingml/2006/picture">
                <pic:pic>
                  <pic:nvPicPr>
                    <pic:cNvPr id="0" name="v4_fig6_cost_comparison.png"/>
                    <pic:cNvPicPr/>
                  </pic:nvPicPr>
                  <pic:blipFill>
                    <a:blip r:embed="rId17"/>
                    <a:stretch>
                      <a:fillRect/>
                    </a:stretch>
                  </pic:blipFill>
                  <pic:spPr>
                    <a:xfrm>
                      <a:off x="0" y="0"/>
                      <a:ext cx="4572000" cy="2120043"/>
                    </a:xfrm>
                    <a:prstGeom prst="rect"/>
                  </pic:spPr>
                </pic:pic>
              </a:graphicData>
            </a:graphic>
          </wp:inline>
        </w:drawing>
      </w:r>
    </w:p>
    <w:p/>
    <w:p w14:paraId="0FCC5A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B的价格优势（21倍）与逾渗效率劣势之间的张力。直觉上以B代A可能降成本，但定量结果取决于两种介质的逾渗效率比与价格比的较量。思路框架：纯B扫描确认下限→A单独基准→混合二分搜索→Pareto成本比较。</w:t>
      </w:r>
    </w:p>
    <w:p w14:paraId="3B4A5C88">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三、</w:t>
      </w:r>
      <w:r>
        <w:rPr>
          <w:rFonts w:hint="eastAsia" w:ascii="宋体" w:hAnsi="宋体" w:eastAsia="宋体" w:cs="宋体"/>
          <w:b/>
          <w:sz w:val="24"/>
          <w:szCs w:val="24"/>
        </w:rPr>
        <w:t>模型假设</w:t>
      </w:r>
    </w:p>
    <w:p w14:paraId="479C9B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柱体构造假设：附件每行两个参考点位于柱体轴线上，柱体中心为两参考点中点，沿其连线方向延伸形成全长5000 nm的直圆柱。依据：题设明确金属A为直圆柱体，长度为5000 nm。若违反：柱体实际位置偏移，连通性结果不可靠。</w:t>
      </w:r>
    </w:p>
    <w:p w14:paraId="298960C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隧穿连接假设：两介质表面最短距离不超过1.8 nm时形成确定导电连接。依据：题设明确导通判据。若违反：需引入概率连接函数替代确定性判据。</w:t>
      </w:r>
    </w:p>
    <w:p w14:paraId="27EF51C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电极假设：仅X=±5000面为电极，其余面绝缘。依据：题设原文。</w:t>
      </w:r>
    </w:p>
    <w:p w14:paraId="33361F4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独立占据假设：各导电介质独立占据空间，无重叠排斥。依据：题设不发生碰撞排斥，低体积分数下重叠概率极低。</w:t>
      </w:r>
    </w:p>
    <w:p w14:paraId="739E82E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确定性导电假设：表面距离满足隧穿条件即确定导通。依据：题设给定固定隧穿距离1.8 nm。</w:t>
      </w:r>
    </w:p>
    <w:p w14:paraId="7D7436C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6. 均匀随机填充假设：柱体中心均匀分布，取向在单位球面上均匀分布（Marsaglia方法[6]）。依据：题设任意位置、任意方向。适用范围：问题二至四。</w:t>
      </w:r>
    </w:p>
    <w:p w14:paraId="7B43C20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7. 独立同分布假设：各次MC试验相互独立。依据：蒙特卡洛方法理论基础。适用范围：问题二至四。</w:t>
      </w:r>
    </w:p>
    <w:p w14:paraId="6340138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8. 单调性假设：导通概率是体积分数的单调非递减函数。依据：逾渗理论[1]基础结论。适用范围：问题三。</w:t>
      </w:r>
    </w:p>
    <w:p w14:paraId="391F120C">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四、</w:t>
      </w:r>
      <w:r>
        <w:rPr>
          <w:rFonts w:hint="eastAsia" w:ascii="宋体" w:hAnsi="宋体" w:eastAsia="宋体" w:cs="宋体"/>
          <w:b/>
          <w:sz w:val="24"/>
          <w:szCs w:val="24"/>
        </w:rPr>
        <w:t xml:space="preserve"> 符号说明</w:t>
      </w:r>
    </w:p>
    <w:tbl>
      <w:tblPr>
        <w:tblStyle w:val="32"/>
        <w:tblW w:w="0" w:type="auto"/>
        <w:jc w:val="center"/>
        <w:tblLayout w:type="autofit"/>
        <w:tblCellMar>
          <w:top w:w="0" w:type="dxa"/>
          <w:left w:w="108" w:type="dxa"/>
          <w:bottom w:w="0" w:type="dxa"/>
          <w:right w:w="108" w:type="dxa"/>
        </w:tblCellMar>
      </w:tblPr>
      <w:tblGrid>
        <w:gridCol w:w="2749"/>
        <w:gridCol w:w="3089"/>
        <w:gridCol w:w="3342"/>
      </w:tblGrid>
      <w:tr w14:paraId="0ED50A0D">
        <w:tblPrEx>
          <w:tblCellMar>
            <w:top w:w="0" w:type="dxa"/>
            <w:left w:w="108" w:type="dxa"/>
            <w:bottom w:w="0" w:type="dxa"/>
            <w:right w:w="108" w:type="dxa"/>
          </w:tblCellMar>
        </w:tblPrEx>
        <w:trPr>
          <w:cantSplit/>
          <w:tblHeader/>
          <w:jc w:val="center"/>
        </w:trPr>
        <w:tc>
          <w:tcPr>
            <w:tcW w:w="2749"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4A70E3C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符号</w:t>
            </w:r>
          </w:p>
        </w:tc>
        <w:tc>
          <w:tcPr>
            <w:tcW w:w="3089"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94A784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含义</w:t>
            </w:r>
          </w:p>
        </w:tc>
        <w:tc>
          <w:tcPr>
            <w:tcW w:w="334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DD7751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取值/单位</w:t>
            </w:r>
          </w:p>
        </w:tc>
      </w:tr>
      <w:tr w14:paraId="60C1F0E7">
        <w:tblPrEx>
          <w:tblCellMar>
            <w:top w:w="0" w:type="dxa"/>
            <w:left w:w="108" w:type="dxa"/>
            <w:bottom w:w="0" w:type="dxa"/>
            <w:right w:w="108" w:type="dxa"/>
          </w:tblCellMar>
        </w:tblPrEx>
        <w:trPr>
          <w:cantSplit/>
          <w:jc w:val="center"/>
        </w:trPr>
        <w:tc>
          <w:tcPr>
            <w:tcW w:w="274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476BE3">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L</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c</m:t>
                    </m:r>
                    <m:ctrlPr>
                      <w:rPr>
                        <w:rFonts w:hint="eastAsia" w:ascii="Cambria Math" w:hAnsi="Cambria Math" w:eastAsia="宋体" w:cs="宋体"/>
                        <w:b w:val="0"/>
                        <w:color w:val="000000"/>
                        <w:sz w:val="24"/>
                        <w:szCs w:val="24"/>
                      </w:rPr>
                    </m:ctrlPr>
                  </m:sub>
                </m:sSub>
              </m:oMath>
            </m:oMathPara>
          </w:p>
        </w:tc>
        <w:tc>
          <w:tcPr>
            <w:tcW w:w="308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EBA4D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立方体边长</w:t>
            </w:r>
          </w:p>
        </w:tc>
        <w:tc>
          <w:tcPr>
            <w:tcW w:w="334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77C6C9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10000 nm</w:t>
            </w:r>
          </w:p>
        </w:tc>
      </w:tr>
      <w:tr w14:paraId="645E5A72">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7220F9E">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17574D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金属A柱体长度</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DD270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5000 nm</w:t>
            </w:r>
          </w:p>
        </w:tc>
      </w:tr>
      <w:tr w14:paraId="76C5DA55">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726FA4">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903C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金属A柱体半径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FBA6F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30 nm</w:t>
            </w:r>
          </w:p>
        </w:tc>
      </w:tr>
      <w:tr w14:paraId="680C9BD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D26A5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05698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金属B球体半径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FC3F4A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200 nm</w:t>
            </w:r>
          </w:p>
        </w:tc>
      </w:tr>
      <w:tr w14:paraId="495F6D0A">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937DE38">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E8BF4B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隧穿距离阈值</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B9BC0A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 nm</w:t>
            </w:r>
          </w:p>
        </w:tc>
      </w:tr>
      <w:tr w14:paraId="42D8121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F73F187">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α</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50239A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金属A长径比 </w:t>
            </w:r>
            <m:oMath>
              <m:r>
                <m:rPr/>
                <w:rPr>
                  <w:rFonts w:hint="eastAsia" w:ascii="Cambria Math" w:hAnsi="Cambria Math" w:eastAsia="宋体" w:cs="宋体"/>
                  <w:color w:val="000000"/>
                  <w:sz w:val="24"/>
                  <w:szCs w:val="24"/>
                </w:rPr>
                <m:t>L/(2</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m:t>
              </m:r>
            </m:oMath>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0260A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83.3</w:t>
            </w:r>
          </w:p>
        </w:tc>
      </w:tr>
      <w:tr w14:paraId="765B6F8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6A77D7">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V</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V</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9385E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单根A/B介质体积</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C5F333">
            <w:pPr>
              <w:spacing w:after="0" w:line="240" w:lineRule="auto"/>
              <w:ind w:left="0" w:leftChars="0" w:firstLine="0" w:firstLineChars="0"/>
              <w:jc w:val="center"/>
              <w:rPr>
                <w:rFonts w:hint="eastAsia" w:ascii="宋体" w:hAnsi="宋体" w:eastAsia="宋体" w:cs="宋体"/>
                <w:b w:val="0"/>
                <w:color w:val="000000"/>
                <w:sz w:val="24"/>
                <w:szCs w:val="24"/>
              </w:rPr>
            </w:pPr>
            <m:oMath>
              <m:r>
                <m:rPr/>
                <w:rPr>
                  <w:rFonts w:hint="eastAsia" w:ascii="Cambria Math" w:hAnsi="Cambria Math" w:eastAsia="宋体" w:cs="宋体"/>
                  <w:color w:val="000000"/>
                  <w:sz w:val="24"/>
                  <w:szCs w:val="24"/>
                </w:rPr>
                <m:t>1.414×</m:t>
              </m:r>
              <m:sSup>
                <m:sSupPr>
                  <m:ctrlPr>
                    <w:rPr>
                      <w:rFonts w:hint="eastAsia" w:ascii="Cambria Math" w:hAnsi="Cambria Math" w:eastAsia="宋体" w:cs="宋体"/>
                      <w:b w:val="0"/>
                      <w:color w:val="000000"/>
                      <w:sz w:val="24"/>
                      <w:szCs w:val="24"/>
                    </w:rPr>
                  </m:ctrlPr>
                </m:sSupPr>
                <m:e>
                  <m:r>
                    <m:rPr/>
                    <w:rPr>
                      <w:rFonts w:hint="eastAsia" w:ascii="Cambria Math" w:hAnsi="Cambria Math" w:eastAsia="宋体" w:cs="宋体"/>
                      <w:color w:val="000000"/>
                      <w:sz w:val="24"/>
                      <w:szCs w:val="24"/>
                    </w:rPr>
                    <m:t>10</m:t>
                  </m:r>
                  <m:ctrlPr>
                    <w:rPr>
                      <w:rFonts w:hint="eastAsia" w:ascii="Cambria Math" w:hAnsi="Cambria Math" w:eastAsia="宋体" w:cs="宋体"/>
                      <w:b w:val="0"/>
                      <w:color w:val="000000"/>
                      <w:sz w:val="24"/>
                      <w:szCs w:val="24"/>
                    </w:rPr>
                  </m:ctrlPr>
                </m:e>
                <m:sup>
                  <m:r>
                    <m:rPr/>
                    <w:rPr>
                      <w:rFonts w:hint="eastAsia" w:ascii="Cambria Math" w:hAnsi="Cambria Math" w:eastAsia="宋体" w:cs="宋体"/>
                      <w:color w:val="000000"/>
                      <w:sz w:val="24"/>
                      <w:szCs w:val="24"/>
                    </w:rPr>
                    <m:t>7</m:t>
                  </m:r>
                  <m:ctrlPr>
                    <w:rPr>
                      <w:rFonts w:hint="eastAsia" w:ascii="Cambria Math" w:hAnsi="Cambria Math" w:eastAsia="宋体" w:cs="宋体"/>
                      <w:b w:val="0"/>
                      <w:color w:val="000000"/>
                      <w:sz w:val="24"/>
                      <w:szCs w:val="24"/>
                    </w:rPr>
                  </m:ctrlPr>
                </m:sup>
              </m:sSup>
            </m:oMath>
            <w:r>
              <w:rPr>
                <w:rFonts w:hint="eastAsia" w:ascii="宋体" w:hAnsi="宋体" w:eastAsia="宋体" w:cs="宋体"/>
                <w:b w:val="0"/>
                <w:color w:val="000000"/>
                <w:sz w:val="24"/>
                <w:szCs w:val="24"/>
              </w:rPr>
              <w:t xml:space="preserve">, </w:t>
            </w:r>
            <m:oMath>
              <m:r>
                <m:rPr/>
                <w:rPr>
                  <w:rFonts w:hint="eastAsia" w:ascii="Cambria Math" w:hAnsi="Cambria Math" w:eastAsia="宋体" w:cs="宋体"/>
                  <w:color w:val="000000"/>
                  <w:sz w:val="24"/>
                  <w:szCs w:val="24"/>
                </w:rPr>
                <m:t>3.351×</m:t>
              </m:r>
              <m:sSup>
                <m:sSupPr>
                  <m:ctrlPr>
                    <w:rPr>
                      <w:rFonts w:hint="eastAsia" w:ascii="Cambria Math" w:hAnsi="Cambria Math" w:eastAsia="宋体" w:cs="宋体"/>
                      <w:b w:val="0"/>
                      <w:color w:val="000000"/>
                      <w:sz w:val="24"/>
                      <w:szCs w:val="24"/>
                    </w:rPr>
                  </m:ctrlPr>
                </m:sSupPr>
                <m:e>
                  <m:r>
                    <m:rPr/>
                    <w:rPr>
                      <w:rFonts w:hint="eastAsia" w:ascii="Cambria Math" w:hAnsi="Cambria Math" w:eastAsia="宋体" w:cs="宋体"/>
                      <w:color w:val="000000"/>
                      <w:sz w:val="24"/>
                      <w:szCs w:val="24"/>
                    </w:rPr>
                    <m:t>10</m:t>
                  </m:r>
                  <m:ctrlPr>
                    <w:rPr>
                      <w:rFonts w:hint="eastAsia" w:ascii="Cambria Math" w:hAnsi="Cambria Math" w:eastAsia="宋体" w:cs="宋体"/>
                      <w:b w:val="0"/>
                      <w:color w:val="000000"/>
                      <w:sz w:val="24"/>
                      <w:szCs w:val="24"/>
                    </w:rPr>
                  </m:ctrlPr>
                </m:e>
                <m:sup>
                  <m:r>
                    <m:rPr/>
                    <w:rPr>
                      <w:rFonts w:hint="eastAsia" w:ascii="Cambria Math" w:hAnsi="Cambria Math" w:eastAsia="宋体" w:cs="宋体"/>
                      <w:color w:val="000000"/>
                      <w:sz w:val="24"/>
                      <w:szCs w:val="24"/>
                    </w:rPr>
                    <m:t>7</m:t>
                  </m:r>
                  <m:ctrlPr>
                    <w:rPr>
                      <w:rFonts w:hint="eastAsia" w:ascii="Cambria Math" w:hAnsi="Cambria Math" w:eastAsia="宋体" w:cs="宋体"/>
                      <w:b w:val="0"/>
                      <w:color w:val="000000"/>
                      <w:sz w:val="24"/>
                      <w:szCs w:val="24"/>
                    </w:rPr>
                  </m:ctrlPr>
                </m:sup>
              </m:sSup>
            </m:oMath>
            <w:r>
              <w:rPr>
                <w:rFonts w:hint="eastAsia" w:ascii="宋体" w:hAnsi="宋体" w:eastAsia="宋体" w:cs="宋体"/>
                <w:b w:val="0"/>
                <w:color w:val="000000"/>
                <w:sz w:val="24"/>
                <w:szCs w:val="24"/>
              </w:rPr>
              <w:t>nm³</w:t>
            </w:r>
          </w:p>
        </w:tc>
      </w:tr>
      <w:tr w14:paraId="0371944C">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4BEC1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max</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A3204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KD-Tree搜索半径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3D2587D">
            <w:pPr>
              <w:spacing w:after="0" w:line="240" w:lineRule="auto"/>
              <w:jc w:val="center"/>
              <w:rPr>
                <w:rFonts w:hint="eastAsia" w:ascii="宋体" w:hAnsi="宋体" w:eastAsia="宋体" w:cs="宋体"/>
                <w:b w:val="0"/>
                <w:color w:val="000000"/>
                <w:sz w:val="24"/>
                <w:szCs w:val="24"/>
              </w:rPr>
            </w:pPr>
            <m:oMath>
              <m:r>
                <m:rPr/>
                <w:rPr>
                  <w:rFonts w:hint="eastAsia" w:ascii="Cambria Math" w:hAnsi="Cambria Math" w:eastAsia="宋体" w:cs="宋体"/>
                  <w:color w:val="000000"/>
                  <w:sz w:val="24"/>
                  <w:szCs w:val="24"/>
                </w:rPr>
                <m:t>≈</m:t>
              </m:r>
            </m:oMath>
            <w:r>
              <w:rPr>
                <w:rFonts w:hint="eastAsia" w:ascii="宋体" w:hAnsi="宋体" w:eastAsia="宋体" w:cs="宋体"/>
                <w:b w:val="0"/>
                <w:color w:val="000000"/>
                <w:sz w:val="24"/>
                <w:szCs w:val="24"/>
              </w:rPr>
              <w:t>5062 nm (A-A)</w:t>
            </w:r>
          </w:p>
        </w:tc>
      </w:tr>
      <w:tr w14:paraId="791BBC90">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02C6C8">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ϕ</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1AD02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C25214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变量</w:t>
            </w:r>
          </w:p>
        </w:tc>
      </w:tr>
      <w:tr w14:paraId="6DA7BA21">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88F4BE">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c</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8C2C1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逾渗阈值（</w:t>
            </w:r>
            <m:oMath>
              <m:r>
                <m:rPr/>
                <w:rPr>
                  <w:rFonts w:hint="eastAsia" w:ascii="Cambria Math" w:hAnsi="Cambria Math" w:eastAsia="宋体" w:cs="宋体"/>
                  <w:color w:val="000000"/>
                  <w:sz w:val="24"/>
                  <w:szCs w:val="24"/>
                </w:rPr>
                <m:t>P=50%</m:t>
              </m:r>
            </m:oMath>
            <w:r>
              <w:rPr>
                <w:rFonts w:hint="eastAsia" w:ascii="宋体" w:hAnsi="宋体" w:eastAsia="宋体" w:cs="宋体"/>
                <w:b w:val="0"/>
                <w:color w:val="000000"/>
                <w:sz w:val="24"/>
                <w:szCs w:val="24"/>
              </w:rPr>
              <w:t>）</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07A32CE">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≈0.66%</m:t>
                </m:r>
              </m:oMath>
            </m:oMathPara>
          </w:p>
        </w:tc>
      </w:tr>
      <w:tr w14:paraId="3022AC44">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7EFB6A">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min</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596B6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满足</w:t>
            </w:r>
            <m:oMath>
              <m:r>
                <m:rPr/>
                <w:rPr>
                  <w:rFonts w:hint="eastAsia" w:ascii="Cambria Math" w:hAnsi="Cambria Math" w:eastAsia="宋体" w:cs="宋体"/>
                  <w:color w:val="000000"/>
                  <w:sz w:val="24"/>
                  <w:szCs w:val="24"/>
                </w:rPr>
                <m:t>P≥90%</m:t>
              </m:r>
            </m:oMath>
            <w:r>
              <w:rPr>
                <w:rFonts w:hint="eastAsia" w:ascii="宋体" w:hAnsi="宋体" w:eastAsia="宋体" w:cs="宋体"/>
                <w:b w:val="0"/>
                <w:color w:val="000000"/>
                <w:sz w:val="24"/>
                <w:szCs w:val="24"/>
              </w:rPr>
              <w:t>的最小</w:t>
            </w:r>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EB086CF">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0.82%</m:t>
                </m:r>
              </m:oMath>
            </m:oMathPara>
          </w:p>
        </w:tc>
      </w:tr>
      <w:tr w14:paraId="3DD4F7D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468CB5">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σ</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FF15C9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标度宽度</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3633E50">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≈0.122%</m:t>
                </m:r>
              </m:oMath>
            </m:oMathPara>
          </w:p>
        </w:tc>
      </w:tr>
      <w:tr w14:paraId="60DA39D7">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20F86A3">
            <w:pPr>
              <w:spacing w:after="0" w:line="240" w:lineRule="auto"/>
              <w:jc w:val="center"/>
              <w:rPr>
                <w:rFonts w:hint="eastAsia" w:ascii="宋体" w:hAnsi="宋体" w:eastAsia="宋体" w:cs="宋体"/>
                <w:b w:val="0"/>
                <w:color w:val="000000"/>
                <w:sz w:val="24"/>
                <w:szCs w:val="24"/>
              </w:rPr>
            </w:pPr>
            <m:oMathPara>
              <m:oMath>
                <m:acc>
                  <m:accPr>
                    <m:chr m:val="^"/>
                    <m:ctrlPr>
                      <w:rPr>
                        <w:rFonts w:hint="eastAsia" w:ascii="Cambria Math" w:hAnsi="Cambria Math" w:eastAsia="宋体" w:cs="宋体"/>
                        <w:b w:val="0"/>
                        <w:color w:val="000000"/>
                        <w:sz w:val="24"/>
                        <w:szCs w:val="24"/>
                      </w:rPr>
                    </m:ctrlPr>
                  </m:accPr>
                  <m:e>
                    <m:r>
                      <m:rPr/>
                      <w:rPr>
                        <w:rFonts w:hint="eastAsia" w:ascii="Cambria Math" w:hAnsi="Cambria Math" w:eastAsia="宋体" w:cs="宋体"/>
                        <w:color w:val="000000"/>
                        <w:sz w:val="24"/>
                        <w:szCs w:val="24"/>
                      </w:rPr>
                      <m:t>P</m:t>
                    </m:r>
                    <m:ctrlPr>
                      <w:rPr>
                        <w:rFonts w:hint="eastAsia" w:ascii="Cambria Math" w:hAnsi="Cambria Math" w:eastAsia="宋体" w:cs="宋体"/>
                        <w:b w:val="0"/>
                        <w:color w:val="000000"/>
                        <w:sz w:val="24"/>
                        <w:szCs w:val="24"/>
                      </w:rPr>
                    </m:ctrlPr>
                  </m:e>
                </m:acc>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5C81B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导通概率MC估计</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436DC3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35699FFA">
        <w:tblPrEx>
          <w:tblCellMar>
            <w:top w:w="0" w:type="dxa"/>
            <w:left w:w="108" w:type="dxa"/>
            <w:bottom w:w="0" w:type="dxa"/>
            <w:right w:w="108" w:type="dxa"/>
          </w:tblCellMar>
        </w:tblPrEx>
        <w:trPr>
          <w:cantSplit/>
          <w:jc w:val="center"/>
        </w:trPr>
        <w:tc>
          <w:tcPr>
            <w:tcW w:w="274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D05EBF7">
            <w:pPr>
              <w:spacing w:after="0" w:line="240" w:lineRule="auto"/>
              <w:jc w:val="center"/>
              <w:rPr>
                <w:rFonts w:hint="eastAsia" w:ascii="宋体" w:hAnsi="宋体" w:eastAsia="宋体" w:cs="宋体"/>
                <w:b w:val="0"/>
                <w:color w:val="000000"/>
                <w:sz w:val="24"/>
                <w:szCs w:val="24"/>
              </w:rPr>
            </w:pPr>
            <m:oMathPara>
              <m:oMath>
                <m:r>
                  <m:rPr>
                    <m:scr m:val="script"/>
                  </m:rPr>
                  <w:rPr>
                    <w:rFonts w:hint="eastAsia" w:ascii="Cambria Math" w:hAnsi="Cambria Math" w:eastAsia="MS Mincho" w:cs="MS Mincho"/>
                    <w:color w:val="000000"/>
                    <w:sz w:val="24"/>
                    <w:szCs w:val="24"/>
                  </w:rPr>
                  <m:t>U</m:t>
                </m:r>
              </m:oMath>
            </m:oMathPara>
          </w:p>
        </w:tc>
        <w:tc>
          <w:tcPr>
            <w:tcW w:w="308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A46B1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并查集数据结构</w:t>
            </w:r>
          </w:p>
        </w:tc>
        <w:tc>
          <w:tcPr>
            <w:tcW w:w="334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21E9FC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bl>
    <w:p w14:paraId="00103219">
      <w:pPr>
        <w:spacing w:line="240" w:lineRule="auto"/>
        <w:rPr>
          <w:rFonts w:hint="eastAsia" w:ascii="宋体" w:hAnsi="宋体" w:eastAsia="宋体" w:cs="宋体"/>
          <w:sz w:val="24"/>
          <w:szCs w:val="24"/>
        </w:rPr>
      </w:pPr>
    </w:p>
    <w:p w14:paraId="56381702">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五、</w:t>
      </w:r>
      <w:r>
        <w:rPr>
          <w:rFonts w:hint="eastAsia" w:ascii="宋体" w:hAnsi="宋体" w:eastAsia="宋体" w:cs="宋体"/>
          <w:b/>
          <w:sz w:val="24"/>
          <w:szCs w:val="24"/>
        </w:rPr>
        <w:t xml:space="preserve"> GCPM模型框架</w:t>
      </w:r>
    </w:p>
    <w:p w14:paraId="1BD13BE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GCPM（Geometric Connectivity Percolation Model）由三个松耦合模块构成，</w:t>
      </w:r>
      <w:r>
        <w:rPr>
          <w:rFonts w:hint="eastAsia" w:ascii="宋体" w:hAnsi="宋体" w:eastAsia="宋体" w:cs="宋体"/>
          <w:b/>
          <w:bCs/>
          <w:i/>
          <w:iCs/>
          <w:sz w:val="24"/>
          <w:szCs w:val="24"/>
        </w:rPr>
        <w:t>是全部四个子问题的统一计算基础</w:t>
      </w:r>
      <w:r>
        <w:rPr>
          <w:rFonts w:hint="eastAsia" w:ascii="宋体" w:hAnsi="宋体" w:eastAsia="宋体" w:cs="宋体"/>
          <w:sz w:val="24"/>
          <w:szCs w:val="24"/>
        </w:rPr>
        <w:t>。</w:t>
      </w:r>
    </w:p>
    <w:p w14:paraId="682D60C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几何模块：GMP（Geometric Minimization with Projection）线段最短距离算法，通过参数化方法求解两空间线段的全局最短距离，覆盖平行（退化至端点-线段枚举）、相交（距离为零）和异面（公垂线内点或端点组合）三种构型，无简化近似。</w:t>
      </w:r>
    </w:p>
    <w:p w14:paraId="5211987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索引模块：KD-Tree以柱体中心为键构建空间二分树[5]，以约5062 nm为查询半径筛选候选柱体对，将精确距离计算量从O(N^2)降至O(N log N + |P|)。</w:t>
      </w:r>
    </w:p>
    <w:p w14:paraId="51D3E0B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拓扑模块：并查集（Union-Find）以带路径压缩和按秩合并的优化[5]实现近线性时间的连通分量聚合和逾渗判定。</w:t>
      </w:r>
    </w:p>
    <w:p w14:paraId="0BA36D2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（此处插入 q1/fig_q1_flowchart.png —— 图1 GCPM模型分析流程图）</w:t>
      </w:r>
    </w:p>
    <w:p w14:paraId="4D750AF4">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六、</w:t>
      </w:r>
      <w:r>
        <w:rPr>
          <w:rFonts w:hint="eastAsia" w:ascii="宋体" w:hAnsi="宋体" w:eastAsia="宋体" w:cs="宋体"/>
          <w:b/>
          <w:sz w:val="24"/>
          <w:szCs w:val="24"/>
        </w:rPr>
        <w:t>问题一：确定性逾渗判定</w:t>
      </w:r>
    </w:p>
    <w:p w14:paraId="4809220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问题一是全部四个子问题的基准。附件给定三组金属A柱体的参考点坐标，柱体位置和取向完全固定，所需的是精确的几何连通性判定而非统计推断。</w:t>
      </w:r>
    </w:p>
    <w:p w14:paraId="50A8295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1</w:t>
      </w:r>
      <w:r>
        <w:rPr>
          <w:rFonts w:hint="eastAsia" w:ascii="宋体" w:hAnsi="宋体" w:eastAsia="宋体" w:cs="宋体"/>
          <w:b/>
          <w:sz w:val="24"/>
          <w:szCs w:val="24"/>
        </w:rPr>
        <w:t xml:space="preserve"> 模型的建立和求解</w:t>
      </w:r>
    </w:p>
    <w:p w14:paraId="770B565E">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.1.1 建模思路</w:t>
      </w:r>
      <w:r>
        <w:rPr>
          <w:rFonts w:hint="eastAsia" w:ascii="宋体" w:hAnsi="宋体" w:eastAsia="宋体" w:cs="宋体"/>
          <w:b/>
          <w:i w:val="0"/>
          <w:iCs w:val="0"/>
          <w:color w:val="auto"/>
          <w:sz w:val="24"/>
          <w:szCs w:val="24"/>
          <w:lang w:eastAsia="zh-CN"/>
        </w:rPr>
        <w:t>（</w:t>
      </w:r>
      <w:r>
        <w:rPr>
          <w:rFonts w:hint="eastAsia" w:ascii="宋体" w:hAnsi="宋体" w:eastAsia="宋体" w:cs="宋体"/>
          <w:i w:val="0"/>
          <w:iCs w:val="0"/>
          <w:color w:val="auto"/>
          <w:sz w:val="24"/>
          <w:szCs w:val="24"/>
        </w:rPr>
        <w:t>GCPM</w:t>
      </w:r>
      <w:r>
        <w:rPr>
          <w:rFonts w:hint="eastAsia" w:ascii="宋体" w:hAnsi="宋体" w:eastAsia="宋体" w:cs="宋体"/>
          <w:i w:val="0"/>
          <w:iCs w:val="0"/>
          <w:color w:val="auto"/>
          <w:sz w:val="24"/>
          <w:szCs w:val="24"/>
          <w:lang w:val="en-US" w:eastAsia="zh-CN"/>
        </w:rPr>
        <w:t>模型框架</w:t>
      </w:r>
      <w:r>
        <w:rPr>
          <w:rFonts w:hint="eastAsia" w:ascii="宋体" w:hAnsi="宋体" w:eastAsia="宋体" w:cs="宋体"/>
          <w:b/>
          <w:i w:val="0"/>
          <w:iCs w:val="0"/>
          <w:color w:val="auto"/>
          <w:sz w:val="24"/>
          <w:szCs w:val="24"/>
          <w:lang w:eastAsia="zh-CN"/>
        </w:rPr>
        <w:t>）</w:t>
      </w:r>
    </w:p>
    <w:p>
      <w:pPr>
        <w:jc w:val="center"/>
      </w:pPr>
      <w:r>
        <w:rPr>
          <w:b/>
          <w:sz w:val="18"/>
        </w:rPr>
        <w:t>图1 GCPM模型分析流程图（三层架构：几何层KD-Tree+GMP -&gt; 过滤层并查集 -&gt; 输出层连通判定+BFS路径回溯）</w:t>
      </w:r>
    </w:p>
    <w:p>
      <w:pPr>
        <w:jc w:val="center"/>
      </w:pPr>
      <w:r>
        <w:drawing>
          <wp:inline xmlns:a="http://schemas.openxmlformats.org/drawingml/2006/main" xmlns:pic="http://schemas.openxmlformats.org/drawingml/2006/picture">
            <wp:extent cx="4572000" cy="3530543"/>
            <wp:docPr id="6" name="Picture 6"/>
            <wp:cNvGraphicFramePr>
              <a:graphicFrameLocks noChangeAspect="1"/>
            </wp:cNvGraphicFramePr>
            <a:graphic>
              <a:graphicData uri="http://schemas.openxmlformats.org/drawingml/2006/picture">
                <pic:pic>
                  <pic:nvPicPr>
                    <pic:cNvPr id="0" name="v4_fig1_gcpm_flowchart.png"/>
                    <pic:cNvPicPr/>
                  </pic:nvPicPr>
                  <pic:blipFill>
                    <a:blip r:embed="rId16"/>
                    <a:stretch>
                      <a:fillRect/>
                    </a:stretch>
                  </pic:blipFill>
                  <pic:spPr>
                    <a:xfrm>
                      <a:off x="0" y="0"/>
                      <a:ext cx="4572000" cy="3530543"/>
                    </a:xfrm>
                    <a:prstGeom prst="rect"/>
                  </pic:spPr>
                </pic:pic>
              </a:graphicData>
            </a:graphic>
          </wp:inline>
        </w:drawing>
      </w:r>
    </w:p>
    <w:p/>
    <w:p w14:paraId="0D19DA5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针对问题一，GCPM采用三层递进架构：在几何层，通过参数化线段距离算法（GMP）覆盖全部接触构型；在索引层，通过KD-Tree空间划分避免不必要的距离计算；在拓扑层，通过并查集以近线性时间完成连通分量聚合。三层松耦合——索引层为几何层筛选候选对，几何层为拓扑层提供连通依据。分析流程如图1所示。</w:t>
      </w:r>
    </w:p>
    <w:p w14:paraId="178B8FD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GCPM模型分析流程图（自上而下三阶段：数据输入→几何计算→拓扑判定，箭头方向标注数据流转关系）</w:t>
      </w:r>
    </w:p>
    <w:p w14:paraId="1486A37A">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.1.2 变量定义与公式推导</w:t>
      </w:r>
    </w:p>
    <w:p w14:paraId="5E16995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（一）柱体几何参数化</w:t>
      </w:r>
    </w:p>
    <w:p w14:paraId="65DFFFB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附件每行给出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。柱体中心</w:t>
      </w:r>
      <m:oMath>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，方向</w:t>
      </w:r>
      <m:oMath>
        <m:r>
          <m:rPr/>
          <w:rPr>
            <w:rFonts w:hint="eastAsia" w:ascii="Cambria Math" w:hAnsi="Cambria Math" w:eastAsia="宋体" w:cs="宋体"/>
            <w:sz w:val="24"/>
            <w:szCs w:val="24"/>
          </w:rPr>
          <m:t>d=</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oMath>
      <w:r>
        <w:rPr>
          <w:rFonts w:hint="eastAsia" w:ascii="宋体" w:hAnsi="宋体" w:eastAsia="宋体" w:cs="宋体"/>
          <w:sz w:val="24"/>
          <w:szCs w:val="24"/>
        </w:rPr>
        <w:t>，单位向量</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=d/‖d‖</m:t>
        </m:r>
      </m:oMath>
      <w:r>
        <w:rPr>
          <w:rFonts w:hint="eastAsia" w:ascii="宋体" w:hAnsi="宋体" w:eastAsia="宋体" w:cs="宋体"/>
          <w:sz w:val="24"/>
          <w:szCs w:val="24"/>
        </w:rPr>
        <w:t>。两端点：</w:t>
      </w:r>
    </w:p>
    <w:p w14:paraId="1D23D630">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1</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098C73D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596根柱体总长度偏差</w:t>
      </w:r>
      <m:oMath>
        <m:r>
          <m:rPr/>
          <w:rPr>
            <w:rFonts w:hint="eastAsia" w:ascii="Cambria Math" w:hAnsi="Cambria Math" w:eastAsia="宋体" w:cs="宋体"/>
            <w:sz w:val="24"/>
            <w:szCs w:val="24"/>
          </w:rPr>
          <m:t>&lt;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nm，构造精度满足需求。</w:t>
      </w:r>
    </w:p>
    <w:p w14:paraId="3B76B3B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（二）GMP线段最短距离算法</w:t>
      </w:r>
    </w:p>
    <w:p w14:paraId="6BF1E00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两柱体</w:t>
      </w:r>
      <m:oMath>
        <m:r>
          <m:rPr/>
          <w:rPr>
            <w:rFonts w:hint="eastAsia" w:ascii="Cambria Math" w:hAnsi="Cambria Math" w:eastAsia="宋体" w:cs="宋体"/>
            <w:sz w:val="24"/>
            <w:szCs w:val="24"/>
          </w:rPr>
          <m:t>i</m:t>
        </m:r>
      </m:oMath>
      <w:r>
        <w:rPr>
          <w:rFonts w:hint="eastAsia" w:ascii="宋体" w:hAnsi="宋体" w:eastAsia="宋体" w:cs="宋体"/>
          <w:sz w:val="24"/>
          <w:szCs w:val="24"/>
        </w:rPr>
        <w:t>、</w:t>
      </w:r>
      <m:oMath>
        <m:r>
          <m:rPr/>
          <w:rPr>
            <w:rFonts w:hint="eastAsia" w:ascii="Cambria Math" w:hAnsi="Cambria Math" w:eastAsia="宋体" w:cs="宋体"/>
            <w:sz w:val="24"/>
            <w:szCs w:val="24"/>
          </w:rPr>
          <m:t>j</m:t>
        </m:r>
      </m:oMath>
      <w:r>
        <w:rPr>
          <w:rFonts w:hint="eastAsia" w:ascii="宋体" w:hAnsi="宋体" w:eastAsia="宋体" w:cs="宋体"/>
          <w:sz w:val="24"/>
          <w:szCs w:val="24"/>
        </w:rPr>
        <w:t>的表面距离定义为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=max(0,</m:t>
        </m:r>
        <m:r>
          <m:rPr>
            <m:sty m:val="p"/>
          </m:rPr>
          <w:rPr>
            <w:rFonts w:hint="eastAsia" w:ascii="Cambria Math" w:hAnsi="Cambria Math" w:eastAsia="宋体" w:cs="宋体"/>
            <w:sz w:val="24"/>
            <w:szCs w:val="24"/>
          </w:rPr>
          <m:t xml:space="preserve"> </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axis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，其中</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axis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(i,j)</m:t>
            </m:r>
            <m:ctrlPr>
              <w:rPr>
                <w:rFonts w:hint="eastAsia" w:ascii="Cambria Math" w:hAnsi="Cambria Math" w:eastAsia="宋体" w:cs="宋体"/>
                <w:sz w:val="24"/>
                <w:szCs w:val="24"/>
              </w:rPr>
            </m:ctrlPr>
          </m:sup>
        </m:sSubSup>
      </m:oMath>
      <w:r>
        <w:rPr>
          <w:rFonts w:hint="eastAsia" w:ascii="宋体" w:hAnsi="宋体" w:eastAsia="宋体" w:cs="宋体"/>
          <w:sz w:val="24"/>
          <w:szCs w:val="24"/>
        </w:rPr>
        <w:t>为两轴线线段间最短欧氏距离。</w:t>
      </w:r>
    </w:p>
    <w:p w14:paraId="1138FA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参数化两线段：</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(s)=</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+su</m:t>
        </m:r>
      </m:oMath>
      <w:r>
        <w:rPr>
          <w:rFonts w:hint="eastAsia" w:ascii="宋体" w:hAnsi="宋体" w:eastAsia="宋体" w:cs="宋体"/>
          <w:sz w:val="24"/>
          <w:szCs w:val="24"/>
        </w:rPr>
        <w:t>，</w:t>
      </w:r>
      <m:oMath>
        <m:r>
          <m:rPr/>
          <w:rPr>
            <w:rFonts w:hint="eastAsia" w:ascii="Cambria Math" w:hAnsi="Cambria Math" w:eastAsia="宋体" w:cs="宋体"/>
            <w:sz w:val="24"/>
            <w:szCs w:val="24"/>
          </w:rPr>
          <m:t>s∈[0,1]</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+tv</m:t>
        </m:r>
      </m:oMath>
      <w:r>
        <w:rPr>
          <w:rFonts w:hint="eastAsia" w:ascii="宋体" w:hAnsi="宋体" w:eastAsia="宋体" w:cs="宋体"/>
          <w:sz w:val="24"/>
          <w:szCs w:val="24"/>
        </w:rPr>
        <w:t>，</w:t>
      </w:r>
      <m:oMath>
        <m:r>
          <m:rPr/>
          <w:rPr>
            <w:rFonts w:hint="eastAsia" w:ascii="Cambria Math" w:hAnsi="Cambria Math" w:eastAsia="宋体" w:cs="宋体"/>
            <w:sz w:val="24"/>
            <w:szCs w:val="24"/>
          </w:rPr>
          <m:t>t∈[0,1]</m:t>
        </m:r>
      </m:oMath>
      <w:r>
        <w:rPr>
          <w:rFonts w:hint="eastAsia" w:ascii="宋体" w:hAnsi="宋体" w:eastAsia="宋体" w:cs="宋体"/>
          <w:sz w:val="24"/>
          <w:szCs w:val="24"/>
        </w:rPr>
        <w:t>，其中</w:t>
      </w:r>
      <m:oMath>
        <m:r>
          <m:rPr/>
          <w:rPr>
            <w:rFonts w:hint="eastAsia" w:ascii="Cambria Math" w:hAnsi="Cambria Math" w:eastAsia="宋体" w:cs="宋体"/>
            <w:sz w:val="24"/>
            <w:szCs w:val="24"/>
          </w:rPr>
          <m:t>u=</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v=</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oMath>
      <w:r>
        <w:rPr>
          <w:rFonts w:hint="eastAsia" w:ascii="宋体" w:hAnsi="宋体" w:eastAsia="宋体" w:cs="宋体"/>
          <w:sz w:val="24"/>
          <w:szCs w:val="24"/>
        </w:rPr>
        <w:t>。</w:t>
      </w:r>
    </w:p>
    <w:p w14:paraId="1D72B31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距离平方函数</w:t>
      </w:r>
      <m:oMath>
        <m:r>
          <m:rPr/>
          <w:rPr>
            <w:rFonts w:hint="eastAsia" w:ascii="Cambria Math" w:hAnsi="Cambria Math" w:eastAsia="宋体" w:cs="宋体"/>
            <w:sz w:val="24"/>
            <w:szCs w:val="24"/>
          </w:rPr>
          <m:t>D(s,t)=‖w+su−tv</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m:oMath>
        <m:r>
          <m:rPr/>
          <w:rPr>
            <w:rFonts w:hint="eastAsia" w:ascii="Cambria Math" w:hAnsi="Cambria Math" w:eastAsia="宋体" w:cs="宋体"/>
            <w:sz w:val="24"/>
            <w:szCs w:val="24"/>
          </w:rPr>
          <m:t>w=</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oMath>
      <w:r>
        <w:rPr>
          <w:rFonts w:hint="eastAsia" w:ascii="宋体" w:hAnsi="宋体" w:eastAsia="宋体" w:cs="宋体"/>
          <w:sz w:val="24"/>
          <w:szCs w:val="24"/>
        </w:rPr>
        <w:t>）的极小值条件为</w:t>
      </w:r>
      <m:oMath>
        <m:r>
          <m:rPr/>
          <w:rPr>
            <w:rFonts w:hint="eastAsia" w:ascii="Cambria Math" w:hAnsi="Cambria Math" w:eastAsia="宋体" w:cs="宋体"/>
            <w:sz w:val="24"/>
            <w:szCs w:val="24"/>
          </w:rPr>
          <m:t>∇D=</m:t>
        </m:r>
        <m:r>
          <m:rPr>
            <m:sty m:val="b"/>
          </m:rPr>
          <w:rPr>
            <w:rFonts w:hint="eastAsia" w:ascii="Cambria Math" w:hAnsi="Cambria Math" w:eastAsia="宋体" w:cs="宋体"/>
            <w:sz w:val="24"/>
            <w:szCs w:val="24"/>
          </w:rPr>
          <m:t>0</m:t>
        </m:r>
      </m:oMath>
      <w:r>
        <w:rPr>
          <w:rFonts w:hint="eastAsia" w:ascii="宋体" w:hAnsi="宋体" w:eastAsia="宋体" w:cs="宋体"/>
          <w:sz w:val="24"/>
          <w:szCs w:val="24"/>
        </w:rPr>
        <w:t>：</w:t>
      </w:r>
    </w:p>
    <w:p w14:paraId="2B319D10">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m:t>
              </m:r>
              <m:m>
                <m:mPr>
                  <m:mcs>
                    <m:mc>
                      <m:mcPr>
                        <m:count m:val="2"/>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u·u</m:t>
                    </m:r>
                    <m:ctrlPr>
                      <w:rPr>
                        <w:rFonts w:hint="eastAsia" w:ascii="Cambria Math" w:hAnsi="Cambria Math" w:eastAsia="宋体" w:cs="宋体"/>
                        <w:sz w:val="24"/>
                        <w:szCs w:val="24"/>
                      </w:rPr>
                    </m:ctrlPr>
                  </m:e>
                  <m:e>
                    <m:r>
                      <m:rPr/>
                      <w:rPr>
                        <w:rFonts w:hint="eastAsia" w:ascii="Cambria Math" w:hAnsi="Cambria Math" w:eastAsia="宋体" w:cs="宋体"/>
                        <w:sz w:val="24"/>
                        <w:szCs w:val="24"/>
                      </w:rPr>
                      <m:t>−u·v</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−u·v</m:t>
                    </m:r>
                    <m:ctrlPr>
                      <w:rPr>
                        <w:rFonts w:hint="eastAsia" w:ascii="Cambria Math" w:hAnsi="Cambria Math" w:eastAsia="宋体" w:cs="宋体"/>
                        <w:sz w:val="24"/>
                        <w:szCs w:val="24"/>
                      </w:rPr>
                    </m:ctrlPr>
                  </m:e>
                  <m:e>
                    <m:r>
                      <m:rPr/>
                      <w:rPr>
                        <w:rFonts w:hint="eastAsia" w:ascii="Cambria Math" w:hAnsi="Cambria Math" w:eastAsia="宋体" w:cs="宋体"/>
                        <w:sz w:val="24"/>
                        <w:szCs w:val="24"/>
                      </w:rPr>
                      <m:t>v·v</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m>
                <m:mPr>
                  <m:mcs>
                    <m:mc>
                      <m:mcPr>
                        <m:count m:val="1"/>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m>
                <m:mPr>
                  <m:mcs>
                    <m:mc>
                      <m:mcPr>
                        <m:count m:val="1"/>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−u·w</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v·w</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2</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5E3FC72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记</w:t>
      </w:r>
      <m:oMath>
        <m:r>
          <m:rPr/>
          <w:rPr>
            <w:rFonts w:hint="eastAsia" w:ascii="Cambria Math" w:hAnsi="Cambria Math" w:eastAsia="宋体" w:cs="宋体"/>
            <w:sz w:val="24"/>
            <w:szCs w:val="24"/>
          </w:rPr>
          <m:t>a=u·u</m:t>
        </m:r>
      </m:oMath>
      <w:r>
        <w:rPr>
          <w:rFonts w:hint="eastAsia" w:ascii="宋体" w:hAnsi="宋体" w:eastAsia="宋体" w:cs="宋体"/>
          <w:sz w:val="24"/>
          <w:szCs w:val="24"/>
        </w:rPr>
        <w:t>，</w:t>
      </w:r>
      <m:oMath>
        <m:r>
          <m:rPr/>
          <w:rPr>
            <w:rFonts w:hint="eastAsia" w:ascii="Cambria Math" w:hAnsi="Cambria Math" w:eastAsia="宋体" w:cs="宋体"/>
            <w:sz w:val="24"/>
            <w:szCs w:val="24"/>
          </w:rPr>
          <m:t>b=u·v</m:t>
        </m:r>
      </m:oMath>
      <w:r>
        <w:rPr>
          <w:rFonts w:hint="eastAsia" w:ascii="宋体" w:hAnsi="宋体" w:eastAsia="宋体" w:cs="宋体"/>
          <w:sz w:val="24"/>
          <w:szCs w:val="24"/>
        </w:rPr>
        <w:t>，</w:t>
      </w:r>
      <m:oMath>
        <m:r>
          <m:rPr/>
          <w:rPr>
            <w:rFonts w:hint="eastAsia" w:ascii="Cambria Math" w:hAnsi="Cambria Math" w:eastAsia="宋体" w:cs="宋体"/>
            <w:sz w:val="24"/>
            <w:szCs w:val="24"/>
          </w:rPr>
          <m:t>c=v·v</m:t>
        </m:r>
      </m:oMath>
      <w:r>
        <w:rPr>
          <w:rFonts w:hint="eastAsia" w:ascii="宋体" w:hAnsi="宋体" w:eastAsia="宋体" w:cs="宋体"/>
          <w:sz w:val="24"/>
          <w:szCs w:val="24"/>
        </w:rPr>
        <w:t>，</w:t>
      </w:r>
      <m:oMath>
        <m:r>
          <m:rPr/>
          <w:rPr>
            <w:rFonts w:hint="eastAsia" w:ascii="Cambria Math" w:hAnsi="Cambria Math" w:eastAsia="宋体" w:cs="宋体"/>
            <w:sz w:val="24"/>
            <w:szCs w:val="24"/>
          </w:rPr>
          <m:t>d=u·w</m:t>
        </m:r>
      </m:oMath>
      <w:r>
        <w:rPr>
          <w:rFonts w:hint="eastAsia" w:ascii="宋体" w:hAnsi="宋体" w:eastAsia="宋体" w:cs="宋体"/>
          <w:sz w:val="24"/>
          <w:szCs w:val="24"/>
        </w:rPr>
        <w:t>，</w:t>
      </w:r>
      <m:oMath>
        <m:r>
          <m:rPr/>
          <w:rPr>
            <w:rFonts w:hint="eastAsia" w:ascii="Cambria Math" w:hAnsi="Cambria Math" w:eastAsia="宋体" w:cs="宋体"/>
            <w:sz w:val="24"/>
            <w:szCs w:val="24"/>
          </w:rPr>
          <m:t>e=v·w</m:t>
        </m:r>
      </m:oMath>
      <w:r>
        <w:rPr>
          <w:rFonts w:hint="eastAsia" w:ascii="宋体" w:hAnsi="宋体" w:eastAsia="宋体" w:cs="宋体"/>
          <w:sz w:val="24"/>
          <w:szCs w:val="24"/>
        </w:rPr>
        <w:t>，</w:t>
      </w:r>
      <m:oMath>
        <m:r>
          <m:rPr/>
          <w:rPr>
            <w:rFonts w:hint="eastAsia" w:ascii="Cambria Math" w:hAnsi="Cambria Math" w:eastAsia="宋体" w:cs="宋体"/>
            <w:sz w:val="24"/>
            <w:szCs w:val="24"/>
          </w:rPr>
          <m:t>Δ=ac−</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39B24CD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GMP算法按</w:t>
      </w:r>
      <m:oMath>
        <m:r>
          <m:rPr/>
          <w:rPr>
            <w:rFonts w:hint="eastAsia" w:ascii="Cambria Math" w:hAnsi="Cambria Math" w:eastAsia="宋体" w:cs="宋体"/>
            <w:sz w:val="24"/>
            <w:szCs w:val="24"/>
          </w:rPr>
          <m:t>Δ</m:t>
        </m:r>
      </m:oMath>
      <w:r>
        <w:rPr>
          <w:rFonts w:hint="eastAsia" w:ascii="宋体" w:hAnsi="宋体" w:eastAsia="宋体" w:cs="宋体"/>
          <w:sz w:val="24"/>
          <w:szCs w:val="24"/>
        </w:rPr>
        <w:t>分两条路径。当</w:t>
      </w:r>
      <m:oMath>
        <m:r>
          <m:rPr/>
          <w:rPr>
            <w:rFonts w:hint="eastAsia" w:ascii="Cambria Math" w:hAnsi="Cambria Math" w:eastAsia="宋体" w:cs="宋体"/>
            <w:sz w:val="24"/>
            <w:szCs w:val="24"/>
          </w:rPr>
          <m:t>Δ&gt;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（非平行）：求解得无约束参数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后截断至</w:t>
      </w:r>
      <m:oMath>
        <m:r>
          <m:rPr/>
          <w:rPr>
            <w:rFonts w:hint="eastAsia" w:ascii="Cambria Math" w:hAnsi="Cambria Math" w:eastAsia="宋体" w:cs="宋体"/>
            <w:sz w:val="24"/>
            <w:szCs w:val="24"/>
          </w:rPr>
          <m:t>[0,1</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，再与四种端点-线段边界构型比较，取全局最小值。当</w:t>
      </w:r>
      <m:oMath>
        <m:r>
          <m:rPr/>
          <w:rPr>
            <w:rFonts w:hint="eastAsia" w:ascii="Cambria Math" w:hAnsi="Cambria Math" w:eastAsia="宋体" w:cs="宋体"/>
            <w:sz w:val="24"/>
            <w:szCs w:val="24"/>
          </w:rPr>
          <m:t>Δ≤</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（平行或退化）：两线段方向共线，最短距离必在至少一条线段端点处取得，退化为端点-线段枚举。该算法覆盖线段空间关系的全部构型。</w:t>
      </w:r>
    </w:p>
    <w:p w14:paraId="490A1B5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柱体到左电极面（</w:t>
      </w:r>
      <m:oMath>
        <m:r>
          <m:rPr/>
          <w:rPr>
            <w:rFonts w:hint="eastAsia" w:ascii="Cambria Math" w:hAnsi="Cambria Math" w:eastAsia="宋体" w:cs="宋体"/>
            <w:sz w:val="24"/>
            <w:szCs w:val="24"/>
          </w:rPr>
          <m:t>X=−5000</m:t>
        </m:r>
      </m:oMath>
      <w:r>
        <w:rPr>
          <w:rFonts w:hint="eastAsia" w:ascii="宋体" w:hAnsi="宋体" w:eastAsia="宋体" w:cs="宋体"/>
          <w:sz w:val="24"/>
          <w:szCs w:val="24"/>
        </w:rPr>
        <w:t xml:space="preserve"> nm）的表面距离：</w:t>
      </w:r>
    </w:p>
    <w:p w14:paraId="326ED899">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|X(p)+5000|−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3</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06B5FB2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若轴线跨越电极面（</w:t>
      </w:r>
      <m:oMath>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+5000)(</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+5000)≤0</m:t>
        </m:r>
      </m:oMath>
      <w:r>
        <w:rPr>
          <w:rFonts w:hint="eastAsia" w:ascii="宋体" w:hAnsi="宋体" w:eastAsia="宋体" w:cs="宋体"/>
          <w:sz w:val="24"/>
          <w:szCs w:val="24"/>
        </w:rPr>
        <w:t>），则轴线上存在一点恰在电极面上，</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=max(0,0−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。右电极距离</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R</m:t>
            </m:r>
            <m:ctrlPr>
              <w:rPr>
                <w:rFonts w:hint="eastAsia" w:ascii="Cambria Math" w:hAnsi="Cambria Math" w:eastAsia="宋体" w:cs="宋体"/>
                <w:sz w:val="24"/>
                <w:szCs w:val="24"/>
              </w:rPr>
            </m:ctrlPr>
          </m:sup>
        </m:sSubSup>
      </m:oMath>
      <w:r>
        <w:rPr>
          <w:rFonts w:hint="eastAsia" w:ascii="宋体" w:hAnsi="宋体" w:eastAsia="宋体" w:cs="宋体"/>
          <w:sz w:val="24"/>
          <w:szCs w:val="24"/>
        </w:rPr>
        <w:t>同理。</w:t>
      </w:r>
    </w:p>
    <w:p w14:paraId="26B7571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（三）KD-Tree加速近邻搜索</w:t>
      </w:r>
    </w:p>
    <w:p w14:paraId="6FC700D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穷举距离计算复杂度为</w:t>
      </w:r>
      <m:oMath>
        <m:r>
          <m:rPr/>
          <w:rPr>
            <w:rFonts w:hint="eastAsia" w:ascii="Cambria Math" w:hAnsi="Cambria Math" w:eastAsia="宋体" w:cs="宋体"/>
            <w:sz w:val="24"/>
            <w:szCs w:val="24"/>
          </w:rPr>
          <m:t>O(</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。两柱体可能连通的最大中心距离为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≈5061.8</m:t>
        </m:r>
      </m:oMath>
      <w:r>
        <w:rPr>
          <w:rFonts w:hint="eastAsia" w:ascii="宋体" w:hAnsi="宋体" w:eastAsia="宋体" w:cs="宋体"/>
          <w:sz w:val="24"/>
          <w:szCs w:val="24"/>
        </w:rPr>
        <w:t xml:space="preserve"> nm。以各柱体中心构建KD-Tree，对每根柱体</w:t>
      </w:r>
      <m:oMath>
        <m:r>
          <m:rPr/>
          <w:rPr>
            <w:rFonts w:hint="eastAsia" w:ascii="Cambria Math" w:hAnsi="Cambria Math" w:eastAsia="宋体" w:cs="宋体"/>
            <w:sz w:val="24"/>
            <w:szCs w:val="24"/>
          </w:rPr>
          <m:t>i</m:t>
        </m:r>
      </m:oMath>
      <w:r>
        <w:rPr>
          <w:rFonts w:hint="eastAsia" w:ascii="宋体" w:hAnsi="宋体" w:eastAsia="宋体" w:cs="宋体"/>
          <w:sz w:val="24"/>
          <w:szCs w:val="24"/>
        </w:rPr>
        <w:t>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oMath>
      <w:r>
        <w:rPr>
          <w:rFonts w:hint="eastAsia" w:ascii="宋体" w:hAnsi="宋体" w:eastAsia="宋体" w:cs="宋体"/>
          <w:sz w:val="24"/>
          <w:szCs w:val="24"/>
        </w:rPr>
        <w:t>查询近邻集合</w:t>
      </w:r>
      <m:oMath>
        <m:r>
          <m:rPr>
            <m:scr m:val="script"/>
          </m:rPr>
          <w:rPr>
            <w:rFonts w:hint="eastAsia" w:ascii="Cambria Math" w:hAnsi="Cambria Math" w:eastAsia="MS Mincho" w:cs="MS Mincho"/>
            <w:sz w:val="24"/>
            <w:szCs w:val="24"/>
          </w:rPr>
          <m:t>N</m:t>
        </m:r>
        <m:r>
          <m:rPr/>
          <w:rPr>
            <w:rFonts w:hint="eastAsia" w:ascii="Cambria Math" w:hAnsi="Cambria Math" w:eastAsia="宋体" w:cs="宋体"/>
            <w:sz w:val="24"/>
            <w:szCs w:val="24"/>
          </w:rPr>
          <m:t>(i)</m:t>
        </m:r>
      </m:oMath>
      <w:r>
        <w:rPr>
          <w:rFonts w:hint="eastAsia" w:ascii="宋体" w:hAnsi="宋体" w:eastAsia="宋体" w:cs="宋体"/>
          <w:sz w:val="24"/>
          <w:szCs w:val="24"/>
        </w:rPr>
        <w:t>，仅对</w:t>
      </w:r>
      <m:oMath>
        <m:r>
          <m:rPr/>
          <w:rPr>
            <w:rFonts w:hint="eastAsia" w:ascii="Cambria Math" w:hAnsi="Cambria Math" w:eastAsia="宋体" w:cs="宋体"/>
            <w:sz w:val="24"/>
            <w:szCs w:val="24"/>
          </w:rPr>
          <m:t>(i,j),j∈</m:t>
        </m:r>
        <m:r>
          <m:rPr>
            <m:scr m:val="script"/>
          </m:rPr>
          <w:rPr>
            <w:rFonts w:hint="eastAsia" w:ascii="Cambria Math" w:hAnsi="Cambria Math" w:eastAsia="MS Mincho" w:cs="MS Mincho"/>
            <w:sz w:val="24"/>
            <w:szCs w:val="24"/>
          </w:rPr>
          <m:t>N</m:t>
        </m:r>
        <m:r>
          <m:rPr/>
          <w:rPr>
            <w:rFonts w:hint="eastAsia" w:ascii="Cambria Math" w:hAnsi="Cambria Math" w:eastAsia="宋体" w:cs="宋体"/>
            <w:sz w:val="24"/>
            <w:szCs w:val="24"/>
          </w:rPr>
          <m:t>(i),j&gt;i</m:t>
        </m:r>
      </m:oMath>
      <w:r>
        <w:rPr>
          <w:rFonts w:hint="eastAsia" w:ascii="宋体" w:hAnsi="宋体" w:eastAsia="宋体" w:cs="宋体"/>
          <w:sz w:val="24"/>
          <w:szCs w:val="24"/>
        </w:rPr>
        <w:t>执行GMP精确计算。期望候选占比约</w:t>
      </w:r>
      <m:oMath>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4</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≈0.52</m:t>
        </m:r>
      </m:oMath>
      <w:r>
        <w:rPr>
          <w:rFonts w:hint="eastAsia" w:ascii="宋体" w:hAnsi="宋体" w:eastAsia="宋体" w:cs="宋体"/>
          <w:sz w:val="24"/>
          <w:szCs w:val="24"/>
        </w:rPr>
        <w:t>，组3实际为26.8%，实现3.7倍加速，该加速比随</w:t>
      </w:r>
      <m:oMath>
        <m:r>
          <m:rPr/>
          <w:rPr>
            <w:rFonts w:hint="eastAsia" w:ascii="Cambria Math" w:hAnsi="Cambria Math" w:eastAsia="宋体" w:cs="宋体"/>
            <w:sz w:val="24"/>
            <w:szCs w:val="24"/>
          </w:rPr>
          <m:t>N</m:t>
        </m:r>
      </m:oMath>
      <w:r>
        <w:rPr>
          <w:rFonts w:hint="eastAsia" w:ascii="宋体" w:hAnsi="宋体" w:eastAsia="宋体" w:cs="宋体"/>
          <w:sz w:val="24"/>
          <w:szCs w:val="24"/>
        </w:rPr>
        <w:t>增大而提升。</w:t>
      </w:r>
    </w:p>
    <w:p w14:paraId="23C6530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（四）并查集连通分量聚合</w:t>
      </w:r>
    </w:p>
    <w:p w14:paraId="1306CBC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并查集以近线性时间复杂度维护不相交集合的合并与查询。带路径压缩和按秩合并后，单次操作分摊复杂度为</w:t>
      </w:r>
      <m:oMath>
        <m:r>
          <m:rPr/>
          <w:rPr>
            <w:rFonts w:hint="eastAsia" w:ascii="Cambria Math" w:hAnsi="Cambria Math" w:eastAsia="宋体" w:cs="宋体"/>
            <w:sz w:val="24"/>
            <w:szCs w:val="24"/>
          </w:rPr>
          <m:t>O(α(N))</m:t>
        </m:r>
      </m:oMath>
      <w:r>
        <w:rPr>
          <w:rFonts w:hint="eastAsia" w:ascii="宋体" w:hAnsi="宋体" w:eastAsia="宋体" w:cs="宋体"/>
          <w:sz w:val="24"/>
          <w:szCs w:val="24"/>
        </w:rPr>
        <w:t>。初始化</w:t>
      </w:r>
      <m:oMath>
        <m:r>
          <m:rPr/>
          <w:rPr>
            <w:rFonts w:hint="eastAsia" w:ascii="Cambria Math" w:hAnsi="Cambria Math" w:eastAsia="宋体" w:cs="宋体"/>
            <w:sz w:val="24"/>
            <w:szCs w:val="24"/>
          </w:rPr>
          <m:t>N</m:t>
        </m:r>
      </m:oMath>
      <w:r>
        <w:rPr>
          <w:rFonts w:hint="eastAsia" w:ascii="宋体" w:hAnsi="宋体" w:eastAsia="宋体" w:cs="宋体"/>
          <w:sz w:val="24"/>
          <w:szCs w:val="24"/>
        </w:rPr>
        <w:t>个单元素集合，遍历候选对：若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则</w:t>
      </w:r>
      <m:oMath>
        <m:r>
          <m:rPr>
            <m:sty m:val="p"/>
          </m:rPr>
          <w:rPr>
            <w:rFonts w:hint="eastAsia" w:ascii="Cambria Math" w:hAnsi="Cambria Math" w:eastAsia="宋体" w:cs="宋体"/>
            <w:sz w:val="24"/>
            <w:szCs w:val="24"/>
          </w:rPr>
          <m:t>union</m:t>
        </m:r>
        <m:r>
          <m:rPr/>
          <w:rPr>
            <w:rFonts w:hint="eastAsia" w:ascii="Cambria Math" w:hAnsi="Cambria Math" w:eastAsia="宋体" w:cs="宋体"/>
            <w:sz w:val="24"/>
            <w:szCs w:val="24"/>
          </w:rPr>
          <m:t>(i,j)</m:t>
        </m:r>
      </m:oMath>
      <w:r>
        <w:rPr>
          <w:rFonts w:hint="eastAsia" w:ascii="宋体" w:hAnsi="宋体" w:eastAsia="宋体" w:cs="宋体"/>
          <w:sz w:val="24"/>
          <w:szCs w:val="24"/>
        </w:rPr>
        <w:t>。逾渗判定：若存在</w:t>
      </w:r>
      <m:oMath>
        <m:r>
          <m:rPr/>
          <w:rPr>
            <w:rFonts w:hint="eastAsia" w:ascii="Cambria Math" w:hAnsi="Cambria Math" w:eastAsia="宋体" w:cs="宋体"/>
            <w:sz w:val="24"/>
            <w:szCs w:val="24"/>
          </w:rPr>
          <m:t>i∈ℒ</m:t>
        </m:r>
      </m:oMath>
      <w:r>
        <w:rPr>
          <w:rFonts w:hint="eastAsia" w:ascii="宋体" w:hAnsi="宋体" w:eastAsia="宋体" w:cs="宋体"/>
          <w:sz w:val="24"/>
          <w:szCs w:val="24"/>
        </w:rPr>
        <w:t>（左电极连接集）和</w:t>
      </w:r>
      <m:oMath>
        <m:r>
          <m:rPr/>
          <w:rPr>
            <w:rFonts w:hint="eastAsia" w:ascii="Cambria Math" w:hAnsi="Cambria Math" w:eastAsia="宋体" w:cs="宋体"/>
            <w:sz w:val="24"/>
            <w:szCs w:val="24"/>
          </w:rPr>
          <m:t>j∈ℛ</m:t>
        </m:r>
      </m:oMath>
      <w:r>
        <w:rPr>
          <w:rFonts w:hint="eastAsia" w:ascii="宋体" w:hAnsi="宋体" w:eastAsia="宋体" w:cs="宋体"/>
          <w:sz w:val="24"/>
          <w:szCs w:val="24"/>
        </w:rPr>
        <w:t>（右电极连接集）满足</w:t>
      </w:r>
      <m:oMath>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(j)</m:t>
        </m:r>
      </m:oMath>
      <w:r>
        <w:rPr>
          <w:rFonts w:hint="eastAsia" w:ascii="宋体" w:hAnsi="宋体" w:eastAsia="宋体" w:cs="宋体"/>
          <w:sz w:val="24"/>
          <w:szCs w:val="24"/>
        </w:rPr>
        <w:t>，则微构体导通。</w:t>
      </w:r>
    </w:p>
    <w:p w14:paraId="6084907C">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.1.3 求解算法</w:t>
      </w:r>
    </w:p>
    <w:p w14:paraId="4354918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算法1：GCPM逾渗判定</w:t>
      </w:r>
    </w:p>
    <w:p w14:paraId="29AADED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初始化。 读取附件数据，对每行构造柱体端点。初始化并查集</w:t>
      </w:r>
      <m:oMath>
        <m:r>
          <m:rPr>
            <m:scr m:val="script"/>
          </m:rPr>
          <w:rPr>
            <w:rFonts w:hint="eastAsia" w:ascii="Cambria Math" w:hAnsi="Cambria Math" w:eastAsia="MS Mincho" w:cs="MS Mincho"/>
            <w:sz w:val="24"/>
            <w:szCs w:val="24"/>
          </w:rPr>
          <m:t>U</m:t>
        </m:r>
      </m:oMath>
      <w:r>
        <w:rPr>
          <w:rFonts w:hint="eastAsia" w:ascii="宋体" w:hAnsi="宋体" w:eastAsia="宋体" w:cs="宋体"/>
          <w:sz w:val="24"/>
          <w:szCs w:val="24"/>
        </w:rPr>
        <w:t>。</w:t>
      </w:r>
    </w:p>
    <w:p w14:paraId="5D235AC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2 KD-Tree索引。 以柱体中心构建KD-Tree，对每个</w:t>
      </w:r>
      <m:oMath>
        <m:r>
          <m:rPr/>
          <w:rPr>
            <w:rFonts w:hint="eastAsia" w:ascii="Cambria Math" w:hAnsi="Cambria Math" w:eastAsia="宋体" w:cs="宋体"/>
            <w:sz w:val="24"/>
            <w:szCs w:val="24"/>
          </w:rPr>
          <m:t>i</m:t>
        </m:r>
      </m:oMath>
      <w:r>
        <w:rPr>
          <w:rFonts w:hint="eastAsia" w:ascii="宋体" w:hAnsi="宋体" w:eastAsia="宋体" w:cs="宋体"/>
          <w:sz w:val="24"/>
          <w:szCs w:val="24"/>
        </w:rPr>
        <w:t>查询所有</w:t>
      </w:r>
      <m:oMath>
        <m:r>
          <m:rPr/>
          <w:rPr>
            <w:rFonts w:hint="eastAsia" w:ascii="Cambria Math" w:hAnsi="Cambria Math" w:eastAsia="宋体" w:cs="宋体"/>
            <w:sz w:val="24"/>
            <w:szCs w:val="24"/>
          </w:rPr>
          <m:t>j&gt;i</m:t>
        </m:r>
      </m:oMath>
      <w:r>
        <w:rPr>
          <w:rFonts w:hint="eastAsia" w:ascii="宋体" w:hAnsi="宋体" w:eastAsia="宋体" w:cs="宋体"/>
          <w:sz w:val="24"/>
          <w:szCs w:val="24"/>
        </w:rPr>
        <w:t>满足</w:t>
      </w:r>
      <m:oMath>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oMath>
      <w:r>
        <w:rPr>
          <w:rFonts w:hint="eastAsia" w:ascii="宋体" w:hAnsi="宋体" w:eastAsia="宋体" w:cs="宋体"/>
          <w:sz w:val="24"/>
          <w:szCs w:val="24"/>
        </w:rPr>
        <w:t>，形成候选对列表</w:t>
      </w:r>
      <m:oMath>
        <m:r>
          <m:rPr>
            <m:scr m:val="script"/>
          </m:rPr>
          <w:rPr>
            <w:rFonts w:hint="eastAsia" w:ascii="Cambria Math" w:hAnsi="Cambria Math" w:eastAsia="MS Mincho" w:cs="MS Mincho"/>
            <w:sz w:val="24"/>
            <w:szCs w:val="24"/>
          </w:rPr>
          <m:t>P</m:t>
        </m:r>
      </m:oMath>
      <w:r>
        <w:rPr>
          <w:rFonts w:hint="eastAsia" w:ascii="宋体" w:hAnsi="宋体" w:eastAsia="宋体" w:cs="宋体"/>
          <w:sz w:val="24"/>
          <w:szCs w:val="24"/>
        </w:rPr>
        <w:t>。</w:t>
      </w:r>
    </w:p>
    <w:p w14:paraId="06EE6D3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精确距离与合并。 对</w:t>
      </w:r>
      <m:oMath>
        <m:r>
          <m:rPr>
            <m:scr m:val="script"/>
          </m:rPr>
          <w:rPr>
            <w:rFonts w:hint="eastAsia" w:ascii="Cambria Math" w:hAnsi="Cambria Math" w:eastAsia="MS Mincho" w:cs="MS Mincho"/>
            <w:sz w:val="24"/>
            <w:szCs w:val="24"/>
          </w:rPr>
          <m:t>P</m:t>
        </m:r>
      </m:oMath>
      <w:r>
        <w:rPr>
          <w:rFonts w:hint="eastAsia" w:ascii="宋体" w:hAnsi="宋体" w:eastAsia="宋体" w:cs="宋体"/>
          <w:sz w:val="24"/>
          <w:szCs w:val="24"/>
        </w:rPr>
        <w:t>中每对</w:t>
      </w:r>
      <m:oMath>
        <m:r>
          <m:rPr/>
          <w:rPr>
            <w:rFonts w:hint="eastAsia" w:ascii="Cambria Math" w:hAnsi="Cambria Math" w:eastAsia="宋体" w:cs="宋体"/>
            <w:sz w:val="24"/>
            <w:szCs w:val="24"/>
          </w:rPr>
          <m:t>(i,j)</m:t>
        </m:r>
      </m:oMath>
      <w:r>
        <w:rPr>
          <w:rFonts w:hint="eastAsia" w:ascii="宋体" w:hAnsi="宋体" w:eastAsia="宋体" w:cs="宋体"/>
          <w:sz w:val="24"/>
          <w:szCs w:val="24"/>
        </w:rPr>
        <w:t>执行GMP算法得</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则</w:t>
      </w:r>
      <m:oMath>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union</m:t>
        </m:r>
        <m:r>
          <m:rPr/>
          <w:rPr>
            <w:rFonts w:hint="eastAsia" w:ascii="Cambria Math" w:hAnsi="Cambria Math" w:eastAsia="宋体" w:cs="宋体"/>
            <w:sz w:val="24"/>
            <w:szCs w:val="24"/>
          </w:rPr>
          <m:t>(i,j)</m:t>
        </m:r>
      </m:oMath>
      <w:r>
        <w:rPr>
          <w:rFonts w:hint="eastAsia" w:ascii="宋体" w:hAnsi="宋体" w:eastAsia="宋体" w:cs="宋体"/>
          <w:sz w:val="24"/>
          <w:szCs w:val="24"/>
        </w:rPr>
        <w:t>。</w:t>
      </w:r>
    </w:p>
    <w:p w14:paraId="73C2B51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电极连接。 计算</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oMath>
      <w:r>
        <w:rPr>
          <w:rFonts w:hint="eastAsia" w:ascii="宋体" w:hAnsi="宋体" w:eastAsia="宋体" w:cs="宋体"/>
          <w:sz w:val="24"/>
          <w:szCs w:val="24"/>
        </w:rPr>
        <w:t>、</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R</m:t>
            </m:r>
            <m:ctrlPr>
              <w:rPr>
                <w:rFonts w:hint="eastAsia" w:ascii="Cambria Math" w:hAnsi="Cambria Math" w:eastAsia="宋体" w:cs="宋体"/>
                <w:sz w:val="24"/>
                <w:szCs w:val="24"/>
              </w:rPr>
            </m:ctrlPr>
          </m:sup>
        </m:sSubSup>
      </m:oMath>
      <w:r>
        <w:rPr>
          <w:rFonts w:hint="eastAsia" w:ascii="宋体" w:hAnsi="宋体" w:eastAsia="宋体" w:cs="宋体"/>
          <w:sz w:val="24"/>
          <w:szCs w:val="24"/>
        </w:rPr>
        <w:t>，记录集合</w:t>
      </w:r>
      <m:oMath>
        <m:r>
          <m:rPr/>
          <w:rPr>
            <w:rFonts w:hint="eastAsia" w:ascii="Cambria Math" w:hAnsi="Cambria Math" w:eastAsia="宋体" w:cs="宋体"/>
            <w:sz w:val="24"/>
            <w:szCs w:val="24"/>
          </w:rPr>
          <m:t>ℒ</m:t>
        </m:r>
      </m:oMath>
      <w:r>
        <w:rPr>
          <w:rFonts w:hint="eastAsia" w:ascii="宋体" w:hAnsi="宋体" w:eastAsia="宋体" w:cs="宋体"/>
          <w:sz w:val="24"/>
          <w:szCs w:val="24"/>
        </w:rPr>
        <w:t>、</w:t>
      </w:r>
      <m:oMath>
        <m:r>
          <m:rPr/>
          <w:rPr>
            <w:rFonts w:hint="eastAsia" w:ascii="Cambria Math" w:hAnsi="Cambria Math" w:eastAsia="宋体" w:cs="宋体"/>
            <w:sz w:val="24"/>
            <w:szCs w:val="24"/>
          </w:rPr>
          <m:t>ℛ</m:t>
        </m:r>
      </m:oMath>
      <w:r>
        <w:rPr>
          <w:rFonts w:hint="eastAsia" w:ascii="宋体" w:hAnsi="宋体" w:eastAsia="宋体" w:cs="宋体"/>
          <w:sz w:val="24"/>
          <w:szCs w:val="24"/>
        </w:rPr>
        <w:t>。</w:t>
      </w:r>
    </w:p>
    <w:p w14:paraId="22E2841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5 逾渗判定。 若</w:t>
      </w:r>
      <m:oMath>
        <m:r>
          <m:rPr/>
          <w:rPr>
            <w:rFonts w:hint="eastAsia" w:ascii="Cambria Math" w:hAnsi="Cambria Math" w:eastAsia="宋体" w:cs="宋体"/>
            <w:sz w:val="24"/>
            <w:szCs w:val="24"/>
          </w:rPr>
          <m:t>∃i∈ℒ,j∈ℛ:</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(i)=</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(j)</m:t>
        </m:r>
      </m:oMath>
      <w:r>
        <w:rPr>
          <w:rFonts w:hint="eastAsia" w:ascii="宋体" w:hAnsi="宋体" w:eastAsia="宋体" w:cs="宋体"/>
          <w:sz w:val="24"/>
          <w:szCs w:val="24"/>
        </w:rPr>
        <w:t>，输出导通；否则不导通。</w:t>
      </w:r>
    </w:p>
    <w:p w14:paraId="7821235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6 路径回溯。 若导通，在连通图上执行BFS输出最短导电路径。</w:t>
      </w:r>
    </w:p>
    <w:p w14:paraId="44A6E0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算法1 结束</w:t>
      </w:r>
    </w:p>
    <w:p w14:paraId="57921BB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时间复杂度：</w:t>
      </w:r>
      <m:oMath>
        <m:r>
          <m:rPr/>
          <w:rPr>
            <w:rFonts w:hint="eastAsia" w:ascii="Cambria Math" w:hAnsi="Cambria Math" w:eastAsia="宋体" w:cs="宋体"/>
            <w:sz w:val="24"/>
            <w:szCs w:val="24"/>
          </w:rPr>
          <m:t>O(NlogN)</m:t>
        </m:r>
      </m:oMath>
      <w:r>
        <w:rPr>
          <w:rFonts w:hint="eastAsia" w:ascii="宋体" w:hAnsi="宋体" w:eastAsia="宋体" w:cs="宋体"/>
          <w:sz w:val="24"/>
          <w:szCs w:val="24"/>
        </w:rPr>
        <w:t xml:space="preserve">（KD-Tree）+ </w:t>
      </w:r>
      <m:oMath>
        <m:r>
          <m:rPr/>
          <w:rPr>
            <w:rFonts w:hint="eastAsia" w:ascii="Cambria Math" w:hAnsi="Cambria Math" w:eastAsia="宋体" w:cs="宋体"/>
            <w:sz w:val="24"/>
            <w:szCs w:val="24"/>
          </w:rPr>
          <m:t>O(|</m:t>
        </m:r>
        <m:r>
          <m:rPr>
            <m:scr m:val="script"/>
          </m:rPr>
          <w:rPr>
            <w:rFonts w:hint="eastAsia" w:ascii="Cambria Math" w:hAnsi="Cambria Math" w:eastAsia="MS Mincho" w:cs="MS Mincho"/>
            <w:sz w:val="24"/>
            <w:szCs w:val="24"/>
          </w:rPr>
          <m:t>P</m:t>
        </m:r>
        <m:r>
          <m:rPr/>
          <w:rPr>
            <w:rFonts w:hint="eastAsia" w:ascii="Cambria Math" w:hAnsi="Cambria Math" w:eastAsia="宋体" w:cs="宋体"/>
            <w:sz w:val="24"/>
            <w:szCs w:val="24"/>
          </w:rPr>
          <m:t>|)</m:t>
        </m:r>
      </m:oMath>
      <w:r>
        <w:rPr>
          <w:rFonts w:hint="eastAsia" w:ascii="宋体" w:hAnsi="宋体" w:eastAsia="宋体" w:cs="宋体"/>
          <w:sz w:val="24"/>
          <w:szCs w:val="24"/>
        </w:rPr>
        <w:t xml:space="preserve">（GMP计算）+ </w:t>
      </w:r>
      <m:oMath>
        <m:r>
          <m:rPr/>
          <w:rPr>
            <w:rFonts w:hint="eastAsia" w:ascii="Cambria Math" w:hAnsi="Cambria Math" w:eastAsia="宋体" w:cs="宋体"/>
            <w:sz w:val="24"/>
            <w:szCs w:val="24"/>
          </w:rPr>
          <m:t>O(N·α(N))</m:t>
        </m:r>
      </m:oMath>
      <w:r>
        <w:rPr>
          <w:rFonts w:hint="eastAsia" w:ascii="宋体" w:hAnsi="宋体" w:eastAsia="宋体" w:cs="宋体"/>
          <w:sz w:val="24"/>
          <w:szCs w:val="24"/>
        </w:rPr>
        <w:t>（并查集）。总体</w:t>
      </w:r>
      <m:oMath>
        <m:r>
          <m:rPr/>
          <w:rPr>
            <w:rFonts w:hint="eastAsia" w:ascii="Cambria Math" w:hAnsi="Cambria Math" w:eastAsia="宋体" w:cs="宋体"/>
            <w:sz w:val="24"/>
            <w:szCs w:val="24"/>
          </w:rPr>
          <m:t>O(NlogN+|</m:t>
        </m:r>
        <m:r>
          <m:rPr>
            <m:scr m:val="script"/>
          </m:rPr>
          <w:rPr>
            <w:rFonts w:hint="eastAsia" w:ascii="Cambria Math" w:hAnsi="Cambria Math" w:eastAsia="MS Mincho" w:cs="MS Mincho"/>
            <w:sz w:val="24"/>
            <w:szCs w:val="24"/>
          </w:rPr>
          <m:t>P</m:t>
        </m:r>
        <m:r>
          <m:rPr/>
          <w:rPr>
            <w:rFonts w:hint="eastAsia" w:ascii="Cambria Math" w:hAnsi="Cambria Math" w:eastAsia="宋体" w:cs="宋体"/>
            <w:sz w:val="24"/>
            <w:szCs w:val="24"/>
          </w:rPr>
          <m:t>|)</m:t>
        </m:r>
      </m:oMath>
      <w:r>
        <w:rPr>
          <w:rFonts w:hint="eastAsia" w:ascii="宋体" w:hAnsi="宋体" w:eastAsia="宋体" w:cs="宋体"/>
          <w:sz w:val="24"/>
          <w:szCs w:val="24"/>
        </w:rPr>
        <w:t>，优于穷举法的</w:t>
      </w:r>
      <m:oMath>
        <m:r>
          <m:rPr/>
          <w:rPr>
            <w:rFonts w:hint="eastAsia" w:ascii="Cambria Math" w:hAnsi="Cambria Math" w:eastAsia="宋体" w:cs="宋体"/>
            <w:sz w:val="24"/>
            <w:szCs w:val="24"/>
          </w:rPr>
          <m:t>O(</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w:t>
      </w:r>
    </w:p>
    <w:p w14:paraId="3B875558">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2</w:t>
      </w:r>
      <w:r>
        <w:rPr>
          <w:rFonts w:hint="eastAsia" w:ascii="宋体" w:hAnsi="宋体" w:eastAsia="宋体" w:cs="宋体"/>
          <w:b/>
          <w:sz w:val="24"/>
          <w:szCs w:val="24"/>
        </w:rPr>
        <w:t xml:space="preserve"> 结果分析</w:t>
      </w:r>
    </w:p>
    <w:p w14:paraId="31988D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模型以Python 3.13实现，核心数值计算基于NumPy，KD-Tree采用SciPy的scipy.spatial.KDTree。三组配置结果汇总于表1和表2。</w:t>
      </w:r>
    </w:p>
    <w:p w14:paraId="6CCACCA4">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三组配置GCPM逾渗判定结果</w:t>
      </w:r>
    </w:p>
    <w:tbl>
      <w:tblPr>
        <w:tblStyle w:val="32"/>
        <w:tblW w:w="0" w:type="auto"/>
        <w:jc w:val="center"/>
        <w:tblLayout w:type="fixed"/>
        <w:tblCellMar>
          <w:top w:w="0" w:type="dxa"/>
          <w:left w:w="108" w:type="dxa"/>
          <w:bottom w:w="0" w:type="dxa"/>
          <w:right w:w="108" w:type="dxa"/>
        </w:tblCellMar>
      </w:tblPr>
      <w:tblGrid>
        <w:gridCol w:w="716"/>
        <w:gridCol w:w="936"/>
        <w:gridCol w:w="1032"/>
        <w:gridCol w:w="2109"/>
        <w:gridCol w:w="737"/>
        <w:gridCol w:w="1320"/>
        <w:gridCol w:w="1013"/>
        <w:gridCol w:w="1496"/>
      </w:tblGrid>
      <w:tr w14:paraId="1C90AA54">
        <w:tblPrEx>
          <w:tblCellMar>
            <w:top w:w="0" w:type="dxa"/>
            <w:left w:w="108" w:type="dxa"/>
            <w:bottom w:w="0" w:type="dxa"/>
            <w:right w:w="108" w:type="dxa"/>
          </w:tblCellMar>
        </w:tblPrEx>
        <w:trPr>
          <w:cantSplit/>
          <w:tblHeader/>
          <w:jc w:val="center"/>
        </w:trPr>
        <w:tc>
          <w:tcPr>
            <w:tcW w:w="71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BE84D7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配置</w:t>
            </w:r>
          </w:p>
        </w:tc>
        <w:tc>
          <w:tcPr>
            <w:tcW w:w="9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72E808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03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FEC091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导</w:t>
            </w:r>
            <w:r>
              <w:rPr>
                <w:rFonts w:hint="eastAsia" w:ascii="宋体" w:hAnsi="宋体" w:eastAsia="宋体" w:cs="宋体"/>
                <w:b w:val="0"/>
                <w:color w:val="000000"/>
                <w:sz w:val="24"/>
                <w:szCs w:val="24"/>
              </w:rPr>
              <w:t>通？</w:t>
            </w:r>
          </w:p>
        </w:tc>
        <w:tc>
          <w:tcPr>
            <w:tcW w:w="2109"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605045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导电路径</w:t>
            </w:r>
          </w:p>
        </w:tc>
        <w:tc>
          <w:tcPr>
            <w:tcW w:w="73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C4A60C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跳数</w:t>
            </w:r>
          </w:p>
        </w:tc>
        <w:tc>
          <w:tcPr>
            <w:tcW w:w="132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B327E4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KD-Tree候选占比</w:t>
            </w:r>
          </w:p>
        </w:tc>
        <w:tc>
          <w:tcPr>
            <w:tcW w:w="101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47A992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加速比</w:t>
            </w:r>
          </w:p>
        </w:tc>
        <w:tc>
          <w:tcPr>
            <w:tcW w:w="149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F9115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耗时</w:t>
            </w:r>
          </w:p>
        </w:tc>
      </w:tr>
      <w:tr w14:paraId="39574112">
        <w:tblPrEx>
          <w:tblCellMar>
            <w:top w:w="0" w:type="dxa"/>
            <w:left w:w="108" w:type="dxa"/>
            <w:bottom w:w="0" w:type="dxa"/>
            <w:right w:w="108" w:type="dxa"/>
          </w:tblCellMar>
        </w:tblPrEx>
        <w:trPr>
          <w:cantSplit/>
          <w:jc w:val="center"/>
        </w:trPr>
        <w:tc>
          <w:tcPr>
            <w:tcW w:w="71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7FCD12">
            <w:pPr>
              <w:ind w:left="0" w:leftChars="0" w:firstLine="0" w:firstLineChars="0"/>
              <w:jc w:val="center"/>
              <w:rPr>
                <w:rFonts w:hint="eastAsia" w:eastAsia="宋体"/>
                <w:lang w:val="en-US" w:eastAsia="zh-CN"/>
              </w:rPr>
            </w:pPr>
            <w:r>
              <w:rPr>
                <w:rFonts w:hint="eastAsia"/>
              </w:rPr>
              <w:t>1</w:t>
            </w:r>
            <w:r>
              <w:rPr>
                <w:rFonts w:hint="eastAsia"/>
                <w:lang w:val="en-US" w:eastAsia="zh-CN"/>
              </w:rPr>
              <w:t>组</w:t>
            </w:r>
          </w:p>
        </w:tc>
        <w:tc>
          <w:tcPr>
            <w:tcW w:w="9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C4962B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w:t>
            </w:r>
          </w:p>
        </w:tc>
        <w:tc>
          <w:tcPr>
            <w:tcW w:w="103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FE923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c>
          <w:tcPr>
            <w:tcW w:w="210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884FA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737"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A04E3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132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130899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69.7%</w:t>
            </w:r>
          </w:p>
        </w:tc>
        <w:tc>
          <w:tcPr>
            <w:tcW w:w="101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5CD7A4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w:t>
            </w:r>
          </w:p>
        </w:tc>
        <w:tc>
          <w:tcPr>
            <w:tcW w:w="149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C57E44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 ms</w:t>
            </w:r>
          </w:p>
        </w:tc>
      </w:tr>
      <w:tr w14:paraId="2FED77E0">
        <w:tblPrEx>
          <w:tblCellMar>
            <w:top w:w="0" w:type="dxa"/>
            <w:left w:w="108" w:type="dxa"/>
            <w:bottom w:w="0" w:type="dxa"/>
            <w:right w:w="108" w:type="dxa"/>
          </w:tblCellMar>
        </w:tblPrEx>
        <w:trPr>
          <w:cantSplit/>
          <w:jc w:val="center"/>
        </w:trPr>
        <w:tc>
          <w:tcPr>
            <w:tcW w:w="71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DE20B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2</w:t>
            </w:r>
            <w:r>
              <w:rPr>
                <w:rFonts w:hint="eastAsia" w:ascii="宋体" w:hAnsi="宋体" w:eastAsia="宋体" w:cs="宋体"/>
                <w:b w:val="0"/>
                <w:color w:val="000000"/>
                <w:sz w:val="24"/>
                <w:szCs w:val="24"/>
              </w:rPr>
              <w:t>组</w:t>
            </w:r>
          </w:p>
        </w:tc>
        <w:tc>
          <w:tcPr>
            <w:tcW w:w="9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F90F1E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w:t>
            </w:r>
          </w:p>
        </w:tc>
        <w:tc>
          <w:tcPr>
            <w:tcW w:w="103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B3D09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c>
          <w:tcPr>
            <w:tcW w:w="210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AE2E8C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5→14→33</w:t>
            </w:r>
          </w:p>
        </w:tc>
        <w:tc>
          <w:tcPr>
            <w:tcW w:w="7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C9B3C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W w:w="132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E759BF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73.4%</w:t>
            </w:r>
          </w:p>
        </w:tc>
        <w:tc>
          <w:tcPr>
            <w:tcW w:w="10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32F53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w:t>
            </w:r>
          </w:p>
        </w:tc>
        <w:tc>
          <w:tcPr>
            <w:tcW w:w="149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3959A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13.6 ms</w:t>
            </w:r>
          </w:p>
        </w:tc>
      </w:tr>
      <w:tr w14:paraId="6DEAE358">
        <w:tblPrEx>
          <w:tblCellMar>
            <w:top w:w="0" w:type="dxa"/>
            <w:left w:w="108" w:type="dxa"/>
            <w:bottom w:w="0" w:type="dxa"/>
            <w:right w:w="108" w:type="dxa"/>
          </w:tblCellMar>
        </w:tblPrEx>
        <w:trPr>
          <w:cantSplit/>
          <w:jc w:val="center"/>
        </w:trPr>
        <w:tc>
          <w:tcPr>
            <w:tcW w:w="71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473272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3</w:t>
            </w:r>
            <w:r>
              <w:rPr>
                <w:rFonts w:hint="eastAsia" w:ascii="宋体" w:hAnsi="宋体" w:eastAsia="宋体" w:cs="宋体"/>
                <w:b w:val="0"/>
                <w:color w:val="000000"/>
                <w:sz w:val="24"/>
                <w:szCs w:val="24"/>
              </w:rPr>
              <w:t>组</w:t>
            </w:r>
          </w:p>
        </w:tc>
        <w:tc>
          <w:tcPr>
            <w:tcW w:w="9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B0AC7D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535</w:t>
            </w:r>
          </w:p>
        </w:tc>
        <w:tc>
          <w:tcPr>
            <w:tcW w:w="103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F0AF5C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c>
          <w:tcPr>
            <w:tcW w:w="210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52FCF7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62→263→215→350</w:t>
            </w:r>
          </w:p>
        </w:tc>
        <w:tc>
          <w:tcPr>
            <w:tcW w:w="73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D9E495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132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DA7F3E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26.8%</w:t>
            </w:r>
          </w:p>
        </w:tc>
        <w:tc>
          <w:tcPr>
            <w:tcW w:w="101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E71D0E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3.7×</w:t>
            </w:r>
          </w:p>
        </w:tc>
        <w:tc>
          <w:tcPr>
            <w:tcW w:w="149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A0D1B8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447.9 ms</w:t>
            </w:r>
          </w:p>
        </w:tc>
      </w:tr>
    </w:tbl>
    <w:p w14:paraId="18877BD8">
      <w:pPr>
        <w:spacing w:line="240" w:lineRule="auto"/>
        <w:rPr>
          <w:rFonts w:hint="eastAsia" w:ascii="宋体" w:hAnsi="宋体" w:eastAsia="宋体" w:cs="宋体"/>
          <w:sz w:val="24"/>
          <w:szCs w:val="24"/>
        </w:rPr>
      </w:pPr>
    </w:p>
    <w:p w14:paraId="442B2CC8">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各配置连通性统计</w:t>
      </w:r>
    </w:p>
    <w:tbl>
      <w:tblPr>
        <w:tblStyle w:val="32"/>
        <w:tblW w:w="0" w:type="auto"/>
        <w:jc w:val="center"/>
        <w:tblLayout w:type="autofit"/>
        <w:tblCellMar>
          <w:top w:w="0" w:type="dxa"/>
          <w:left w:w="108" w:type="dxa"/>
          <w:bottom w:w="0" w:type="dxa"/>
          <w:right w:w="108" w:type="dxa"/>
        </w:tblCellMar>
      </w:tblPr>
      <w:tblGrid>
        <w:gridCol w:w="2295"/>
        <w:gridCol w:w="2295"/>
        <w:gridCol w:w="2295"/>
        <w:gridCol w:w="2295"/>
      </w:tblGrid>
      <w:tr w14:paraId="51274F5A">
        <w:tblPrEx>
          <w:tblCellMar>
            <w:top w:w="0" w:type="dxa"/>
            <w:left w:w="108" w:type="dxa"/>
            <w:bottom w:w="0" w:type="dxa"/>
            <w:right w:w="108" w:type="dxa"/>
          </w:tblCellMar>
        </w:tblPrEx>
        <w:trPr>
          <w:cantSplit/>
          <w:tblHeader/>
          <w:jc w:val="center"/>
        </w:trPr>
        <w:tc>
          <w:tcPr>
            <w:tcW w:w="2295"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72A494D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指标</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01FAAFA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组1 (12)</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5086D0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组2 (49)</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46692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组3 (535)</w:t>
            </w:r>
          </w:p>
        </w:tc>
      </w:tr>
      <w:tr w14:paraId="7AE1B00A">
        <w:tblPrEx>
          <w:tblCellMar>
            <w:top w:w="0" w:type="dxa"/>
            <w:left w:w="108" w:type="dxa"/>
            <w:bottom w:w="0" w:type="dxa"/>
            <w:right w:w="108" w:type="dxa"/>
          </w:tblCellMar>
        </w:tblPrEx>
        <w:trPr>
          <w:cantSplit/>
          <w:jc w:val="center"/>
        </w:trPr>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3AA00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左电极连接数</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D63FAE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E9689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A146F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105</w:t>
            </w:r>
          </w:p>
        </w:tc>
      </w:tr>
      <w:tr w14:paraId="00785F88">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C68CD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右电极连接数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046D4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73AEBE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D5061A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97</w:t>
            </w:r>
          </w:p>
        </w:tc>
      </w:tr>
      <w:tr w14:paraId="09F01FFB">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84BC9B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连通边数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64D5D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93F59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52</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D39B27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252</w:t>
            </w:r>
          </w:p>
        </w:tc>
      </w:tr>
      <w:tr w14:paraId="6B103B72">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2871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连通分量数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92634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C9873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25A33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296</w:t>
            </w:r>
          </w:p>
        </w:tc>
      </w:tr>
      <w:tr w14:paraId="506CF487">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CA1F4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最大分量柱体数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1F4F6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C9A65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CF95D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w:t>
            </w:r>
          </w:p>
        </w:tc>
      </w:tr>
      <w:tr w14:paraId="5413F793">
        <w:tblPrEx>
          <w:tblCellMar>
            <w:top w:w="0" w:type="dxa"/>
            <w:left w:w="108" w:type="dxa"/>
            <w:bottom w:w="0" w:type="dxa"/>
            <w:right w:w="108" w:type="dxa"/>
          </w:tblCellMar>
        </w:tblPrEx>
        <w:trPr>
          <w:cantSplit/>
          <w:jc w:val="center"/>
        </w:trPr>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C174C6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从左可达柱体数</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92494D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4AE4E7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627CA8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189</w:t>
            </w:r>
          </w:p>
        </w:tc>
      </w:tr>
    </w:tbl>
    <w:p w14:paraId="4CDDE697">
      <w:pPr>
        <w:spacing w:line="240" w:lineRule="auto"/>
        <w:rPr>
          <w:rFonts w:hint="eastAsia" w:ascii="宋体" w:hAnsi="宋体" w:eastAsia="宋体" w:cs="宋体"/>
          <w:sz w:val="24"/>
          <w:szCs w:val="24"/>
        </w:rPr>
      </w:pPr>
    </w:p>
    <w:p w14:paraId="6887EE4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组1（12根）：密度过低。虽3根接左电极、5根接右电极，柱体间仅4对连通边，左右电极连通分量彼此隔离。8个分量中最大仅含3根柱体，远不足以跨越</w:t>
      </w:r>
      <m:oMath>
        <m:r>
          <m:rPr/>
          <w:rPr>
            <w:rFonts w:hint="eastAsia" w:ascii="Cambria Math" w:hAnsi="Cambria Math" w:eastAsia="宋体" w:cs="宋体"/>
            <w:sz w:val="24"/>
            <w:szCs w:val="24"/>
          </w:rPr>
          <m:t>X</m:t>
        </m:r>
      </m:oMath>
      <w:r>
        <w:rPr>
          <w:rFonts w:hint="eastAsia" w:ascii="宋体" w:hAnsi="宋体" w:eastAsia="宋体" w:cs="宋体"/>
          <w:sz w:val="24"/>
          <w:szCs w:val="24"/>
        </w:rPr>
        <w:t>方向的10000 nm。</w:t>
      </w:r>
    </w:p>
    <w:p w14:paraId="3CFC9AA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2（49根）：密度提升约4倍。电极连接各13根，连通边52对，最大分量29根。并查集将左电极柱体#5与右电极柱体#33聚合于同一分量，经#14桥接仅2跳导通——体系刚越过逾渗阈值。图2展示了组2的逾渗路径三维可视化（橙色高亮路径，蓝色=左电极接触柱体，红色=右电极接触柱体）。</w:t>
      </w:r>
    </w:p>
    <w:p>
      <w:pPr>
        <w:jc w:val="center"/>
      </w:pPr>
      <w:r>
        <w:rPr>
          <w:b/>
          <w:sz w:val="18"/>
        </w:rPr>
        <w:t>图2 49粒子最短导通路径示意（路径：#5(左电极) -&gt; #14 -&gt; #33 -&gt; #2(右电极)，共4步，52对电极间连通）</w:t>
      </w:r>
    </w:p>
    <w:p>
      <w:pPr>
        <w:jc w:val="center"/>
      </w:pPr>
      <w:r>
        <w:drawing>
          <wp:inline xmlns:a="http://schemas.openxmlformats.org/drawingml/2006/main" xmlns:pic="http://schemas.openxmlformats.org/drawingml/2006/picture">
            <wp:extent cx="4114800" cy="3192308"/>
            <wp:docPr id="5" name="Picture 5"/>
            <wp:cNvGraphicFramePr>
              <a:graphicFrameLocks noChangeAspect="1"/>
            </wp:cNvGraphicFramePr>
            <a:graphic>
              <a:graphicData uri="http://schemas.openxmlformats.org/drawingml/2006/picture">
                <pic:pic>
                  <pic:nvPicPr>
                    <pic:cNvPr id="0" name="v4_fig7_49path.png"/>
                    <pic:cNvPicPr/>
                  </pic:nvPicPr>
                  <pic:blipFill>
                    <a:blip r:embed="rId15"/>
                    <a:stretch>
                      <a:fillRect/>
                    </a:stretch>
                  </pic:blipFill>
                  <pic:spPr>
                    <a:xfrm>
                      <a:off x="0" y="0"/>
                      <a:ext cx="4114800" cy="3192308"/>
                    </a:xfrm>
                    <a:prstGeom prst="rect"/>
                  </pic:spPr>
                </pic:pic>
              </a:graphicData>
            </a:graphic>
          </wp:inline>
        </w:drawing>
      </w:r>
    </w:p>
    <w:p/>
    <w:p w14:paraId="162C558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3（535根）：密度约为组1的45倍。105根接左电极，97根接右电极，252对连通边，最大分量53根。从左可达189根（35.3%），导电路径仅3跳。大量远离电极的"孤岛"柱体形成296个分量中的大多数——"少数大分量+大量孤岛"是高长径比逾渗的典型拓扑特征。三组配置的连通分量分布见图3，组2的连通邻接矩阵如图4所示。</w:t>
      </w:r>
    </w:p>
    <w:p>
      <w:pPr>
        <w:jc w:val="center"/>
      </w:pPr>
      <w:r>
        <w:rPr>
          <w:b/>
          <w:sz w:val="18"/>
        </w:rPr>
        <w:t>图3 535粒子大规模导电网结构示意（189粒子骨架/35.3%，路径含62节点）</w:t>
      </w:r>
    </w:p>
    <w:p>
      <w:pPr>
        <w:jc w:val="center"/>
      </w:pPr>
      <w:r>
        <w:drawing>
          <wp:inline xmlns:a="http://schemas.openxmlformats.org/drawingml/2006/main" xmlns:pic="http://schemas.openxmlformats.org/drawingml/2006/picture">
            <wp:extent cx="4114800" cy="3460247"/>
            <wp:docPr id="4" name="Picture 4"/>
            <wp:cNvGraphicFramePr>
              <a:graphicFrameLocks noChangeAspect="1"/>
            </wp:cNvGraphicFramePr>
            <a:graphic>
              <a:graphicData uri="http://schemas.openxmlformats.org/drawingml/2006/picture">
                <pic:pic>
                  <pic:nvPicPr>
                    <pic:cNvPr id="0" name="v4_fig8_535network.png"/>
                    <pic:cNvPicPr/>
                  </pic:nvPicPr>
                  <pic:blipFill>
                    <a:blip r:embed="rId14"/>
                    <a:stretch>
                      <a:fillRect/>
                    </a:stretch>
                  </pic:blipFill>
                  <pic:spPr>
                    <a:xfrm>
                      <a:off x="0" y="0"/>
                      <a:ext cx="4114800" cy="3460247"/>
                    </a:xfrm>
                    <a:prstGeom prst="rect"/>
                  </pic:spPr>
                </pic:pic>
              </a:graphicData>
            </a:graphic>
          </wp:inline>
        </w:drawing>
      </w:r>
    </w:p>
    <w:p/>
    <w:p w14:paraId="07676AB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∈(12,49]</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∈[1.70×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−4</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,6.93×</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−4</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。该极低阈值源于高长径比（</w:t>
      </w:r>
      <m:oMath>
        <m:r>
          <m:rPr/>
          <w:rPr>
            <w:rFonts w:hint="eastAsia" w:ascii="Cambria Math" w:hAnsi="Cambria Math" w:eastAsia="宋体" w:cs="宋体"/>
            <w:sz w:val="24"/>
            <w:szCs w:val="24"/>
          </w:rPr>
          <m:t>α≈83.3</m:t>
        </m:r>
      </m:oMath>
      <w:r>
        <w:rPr>
          <w:rFonts w:hint="eastAsia" w:ascii="宋体" w:hAnsi="宋体" w:eastAsia="宋体" w:cs="宋体"/>
          <w:sz w:val="24"/>
          <w:szCs w:val="24"/>
        </w:rPr>
        <w:t>）：棒状填料排除体积正比于</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[8]，有效逾渗阈值反比于</w:t>
      </w:r>
      <m:oMath>
        <m:r>
          <m:rPr/>
          <w:rPr>
            <w:rFonts w:hint="eastAsia" w:ascii="Cambria Math" w:hAnsi="Cambria Math" w:eastAsia="宋体" w:cs="宋体"/>
            <w:sz w:val="24"/>
            <w:szCs w:val="24"/>
          </w:rPr>
          <m:t>α</m:t>
        </m:r>
      </m:oMath>
      <w:r>
        <w:rPr>
          <w:rFonts w:hint="eastAsia" w:ascii="宋体" w:hAnsi="宋体" w:eastAsia="宋体" w:cs="宋体"/>
          <w:sz w:val="24"/>
          <w:szCs w:val="24"/>
        </w:rPr>
        <w:t>[5]，与逾渗理论[1]量级预测一致。近逾渗区的物理性质（电导率、介电常数等）遵循普适的标度律[1]。</w:t>
      </w:r>
    </w:p>
    <w:p w14:paraId="7ADDF8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导通概率：问题一的三组配置均为附件给定坐标的确定性配置，柱体位置和取向完全固定。在此设定下，导通概率为二元值——组1不导通（</w:t>
      </w:r>
      <m:oMath>
        <m:r>
          <m:rPr/>
          <w:rPr>
            <w:rFonts w:hint="eastAsia" w:ascii="Cambria Math" w:hAnsi="Cambria Math" w:eastAsia="宋体" w:cs="宋体"/>
            <w:sz w:val="24"/>
            <w:szCs w:val="24"/>
          </w:rPr>
          <m:t>P=0</m:t>
        </m:r>
      </m:oMath>
      <w:r>
        <w:rPr>
          <w:rFonts w:hint="eastAsia" w:ascii="宋体" w:hAnsi="宋体" w:eastAsia="宋体" w:cs="宋体"/>
          <w:sz w:val="24"/>
          <w:szCs w:val="24"/>
        </w:rPr>
        <w:t>）；组2和组3导通（</w:t>
      </w:r>
      <m:oMath>
        <m:r>
          <m:rPr/>
          <w:rPr>
            <w:rFonts w:hint="eastAsia" w:ascii="Cambria Math" w:hAnsi="Cambria Math" w:eastAsia="宋体" w:cs="宋体"/>
            <w:sz w:val="24"/>
            <w:szCs w:val="24"/>
          </w:rPr>
          <m:t>P=1</m:t>
        </m:r>
      </m:oMath>
      <w:r>
        <w:rPr>
          <w:rFonts w:hint="eastAsia" w:ascii="宋体" w:hAnsi="宋体" w:eastAsia="宋体" w:cs="宋体"/>
          <w:sz w:val="24"/>
          <w:szCs w:val="24"/>
        </w:rPr>
        <w:t>）。该确定性结果是后续问题中引入随机填充和蒙特卡洛统计推断的基准参照。</w:t>
      </w:r>
    </w:p>
    <w:p w14:paraId="745AD04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3</w:t>
      </w:r>
      <w:r>
        <w:rPr>
          <w:rFonts w:hint="eastAsia" w:ascii="宋体" w:hAnsi="宋体" w:eastAsia="宋体" w:cs="宋体"/>
          <w:b/>
          <w:sz w:val="24"/>
          <w:szCs w:val="24"/>
        </w:rPr>
        <w:t xml:space="preserve"> 模型检验或灵敏度分析</w:t>
      </w:r>
    </w:p>
    <w:p w14:paraId="6D6CDB3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几何精度：596根柱体长度偏差均</w:t>
      </w:r>
      <m:oMath>
        <m:r>
          <m:rPr/>
          <w:rPr>
            <w:rFonts w:hint="eastAsia" w:ascii="Cambria Math" w:hAnsi="Cambria Math" w:eastAsia="宋体" w:cs="宋体"/>
            <w:sz w:val="24"/>
            <w:szCs w:val="24"/>
          </w:rPr>
          <m:t>&lt;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nm，全部144087组距离通过对称性验证（</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ji</m:t>
            </m:r>
            <m:ctrlPr>
              <w:rPr>
                <w:rFonts w:hint="eastAsia" w:ascii="Cambria Math" w:hAnsi="Cambria Math" w:eastAsia="宋体" w:cs="宋体"/>
                <w:sz w:val="24"/>
                <w:szCs w:val="24"/>
              </w:rPr>
            </m:ctrlPr>
          </m:sub>
        </m:sSub>
      </m:oMath>
      <w:r>
        <w:rPr>
          <w:rFonts w:hint="eastAsia" w:ascii="宋体" w:hAnsi="宋体" w:eastAsia="宋体" w:cs="宋体"/>
          <w:sz w:val="24"/>
          <w:szCs w:val="24"/>
        </w:rPr>
        <w:t>）。算法确定性：三次独立运行结果完全一致。确定性配置下无可调节连续参数，传统参数灵敏度分析不直接适用。后续引入蒙特卡洛框架后将系统考察体积分数和取向分布对导通概率的定量影响。详细的拓扑检验和理论对照见</w:t>
      </w:r>
      <w:r>
        <w:rPr>
          <w:rFonts w:hint="eastAsia" w:ascii="宋体" w:hAnsi="宋体" w:eastAsia="宋体" w:cs="宋体"/>
          <w:sz w:val="24"/>
          <w:szCs w:val="24"/>
          <w:lang w:val="en-US" w:eastAsia="zh-CN"/>
        </w:rPr>
        <w:t>7.5</w:t>
      </w:r>
      <w:r>
        <w:rPr>
          <w:rFonts w:hint="eastAsia" w:ascii="宋体" w:hAnsi="宋体" w:eastAsia="宋体" w:cs="宋体"/>
          <w:sz w:val="24"/>
          <w:szCs w:val="24"/>
        </w:rPr>
        <w:t>。</w:t>
      </w:r>
    </w:p>
    <w:p w14:paraId="5111393E">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 xml:space="preserve"> 问题二：随机逾渗与标度理论</w:t>
      </w:r>
    </w:p>
    <w:p w14:paraId="4380340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问题一表明附件配置受电极成核效应主导，逾渗阈值极低。实际材料中填料分布随机——问题二将GCPM扩展至完全随机填充，通过蒙特卡洛模拟研究统计逾渗行为，并以标度理论[1]和排除体积理论[2]交叉验证。</w:t>
      </w:r>
    </w:p>
    <w:p w14:paraId="297E87AB">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7.1</w:t>
      </w:r>
      <w:r>
        <w:rPr>
          <w:rFonts w:hint="eastAsia" w:ascii="宋体" w:hAnsi="宋体" w:eastAsia="宋体" w:cs="宋体"/>
          <w:b/>
          <w:sz w:val="24"/>
          <w:szCs w:val="24"/>
        </w:rPr>
        <w:t xml:space="preserve"> 模型的建立与求解</w:t>
      </w:r>
    </w:p>
    <w:p w14:paraId="552DE78E">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.1.1 建模思路</w:t>
      </w:r>
      <w:r>
        <w:rPr>
          <w:rFonts w:hint="eastAsia" w:ascii="宋体" w:hAnsi="宋体" w:eastAsia="宋体" w:cs="宋体"/>
          <w:b/>
          <w:i w:val="0"/>
          <w:iCs w:val="0"/>
          <w:color w:val="auto"/>
          <w:sz w:val="24"/>
          <w:szCs w:val="24"/>
          <w:lang w:eastAsia="zh-CN"/>
        </w:rPr>
        <w:t>（</w:t>
      </w:r>
      <w:r>
        <w:rPr>
          <w:rFonts w:hint="eastAsia" w:ascii="宋体" w:hAnsi="宋体" w:eastAsia="宋体" w:cs="宋体"/>
          <w:i w:val="0"/>
          <w:iCs w:val="0"/>
          <w:color w:val="auto"/>
          <w:sz w:val="24"/>
          <w:szCs w:val="24"/>
        </w:rPr>
        <w:t>MC-GCPM</w:t>
      </w:r>
      <w:r>
        <w:rPr>
          <w:rFonts w:hint="eastAsia" w:ascii="宋体" w:hAnsi="宋体" w:eastAsia="宋体" w:cs="宋体"/>
          <w:i w:val="0"/>
          <w:iCs w:val="0"/>
          <w:color w:val="auto"/>
          <w:sz w:val="24"/>
          <w:szCs w:val="24"/>
          <w:lang w:val="en-US" w:eastAsia="zh-CN"/>
        </w:rPr>
        <w:t>模型框架</w:t>
      </w:r>
      <w:r>
        <w:rPr>
          <w:rFonts w:hint="eastAsia" w:ascii="宋体" w:hAnsi="宋体" w:eastAsia="宋体" w:cs="宋体"/>
          <w:b/>
          <w:i w:val="0"/>
          <w:iCs w:val="0"/>
          <w:color w:val="auto"/>
          <w:sz w:val="24"/>
          <w:szCs w:val="24"/>
          <w:lang w:eastAsia="zh-CN"/>
        </w:rPr>
        <w:t>）</w:t>
      </w:r>
    </w:p>
    <w:p w14:paraId="4C8CDB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MC-GCPM将GCPM的确定性逾渗判定嵌入蒙特卡洛统计框架。外层对体积分数</w:t>
      </w:r>
      <m:oMath>
        <m:r>
          <m:rPr/>
          <w:rPr>
            <w:rFonts w:hint="eastAsia" w:ascii="Cambria Math" w:hAnsi="Cambria Math" w:eastAsia="宋体" w:cs="宋体"/>
            <w:sz w:val="24"/>
            <w:szCs w:val="24"/>
          </w:rPr>
          <m:t>ϕ</m:t>
        </m:r>
      </m:oMath>
      <w:r>
        <w:rPr>
          <w:rFonts w:hint="eastAsia" w:ascii="宋体" w:hAnsi="宋体" w:eastAsia="宋体" w:cs="宋体"/>
          <w:sz w:val="24"/>
          <w:szCs w:val="24"/>
        </w:rPr>
        <w:t>循环，内层对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次独立试验循环。每次试验的核心流程与问题一相同——生成柱体→KD-Tree筛选→GMP距离→并查集判定——但柱体来源从"附件给定"变为"随机生成"，导通结果从"是/否"变为"是/否"的统计计数。分析流程如图1所示。</w:t>
      </w:r>
    </w:p>
    <w:p>
      <w:pPr>
        <w:jc w:val="center"/>
      </w:pPr>
      <w:r>
        <w:rPr>
          <w:b/>
          <w:sz w:val="18"/>
        </w:rPr>
        <w:t>图4 MC-GCPM渗透转变曲线（500次MC/组，95% Clopper-Pearson置信区间，Logistic S曲线拟合）</w:t>
      </w:r>
    </w:p>
    <w:p>
      <w:pPr>
        <w:jc w:val="center"/>
      </w:pPr>
      <w:r>
        <w:drawing>
          <wp:inline xmlns:a="http://schemas.openxmlformats.org/drawingml/2006/main" xmlns:pic="http://schemas.openxmlformats.org/drawingml/2006/picture">
            <wp:extent cx="4572000" cy="2809018"/>
            <wp:docPr id="3" name="Picture 3"/>
            <wp:cNvGraphicFramePr>
              <a:graphicFrameLocks noChangeAspect="1"/>
            </wp:cNvGraphicFramePr>
            <a:graphic>
              <a:graphicData uri="http://schemas.openxmlformats.org/drawingml/2006/picture">
                <pic:pic>
                  <pic:nvPicPr>
                    <pic:cNvPr id="0" name="v4_fig2_percolation_curve.png"/>
                    <pic:cNvPicPr/>
                  </pic:nvPicPr>
                  <pic:blipFill>
                    <a:blip r:embed="rId13"/>
                    <a:stretch>
                      <a:fillRect/>
                    </a:stretch>
                  </pic:blipFill>
                  <pic:spPr>
                    <a:xfrm>
                      <a:off x="0" y="0"/>
                      <a:ext cx="4572000" cy="2809018"/>
                    </a:xfrm>
                    <a:prstGeom prst="rect"/>
                  </pic:spPr>
                </pic:pic>
              </a:graphicData>
            </a:graphic>
          </wp:inline>
        </w:drawing>
      </w:r>
    </w:p>
    <w:p/>
    <w:p w14:paraId="334C496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MC-GCPM逾渗转变曲线（数据点为500次MC试验的导通频率，误差棒为95% Clopper-Pearson置信区间，水平虚线标记</w:t>
      </w:r>
      <m:oMath>
        <m:r>
          <m:rPr/>
          <w:rPr>
            <w:rFonts w:hint="eastAsia" w:ascii="Cambria Math" w:hAnsi="Cambria Math" w:eastAsia="宋体" w:cs="宋体"/>
            <w:sz w:val="24"/>
            <w:szCs w:val="24"/>
          </w:rPr>
          <m:t>P=50%</m:t>
        </m:r>
      </m:oMath>
      <w:r>
        <w:rPr>
          <w:rFonts w:hint="eastAsia" w:ascii="宋体" w:hAnsi="宋体" w:eastAsia="宋体" w:cs="宋体"/>
          <w:sz w:val="24"/>
          <w:szCs w:val="24"/>
        </w:rPr>
        <w:t>逾渗阈值位置）</w:t>
      </w:r>
    </w:p>
    <w:p w14:paraId="301F16B4">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.1.2 柱体数量计算</w:t>
      </w:r>
    </w:p>
    <w:p w14:paraId="2122DB9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单根金属A柱体的体积为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=π</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L=π×</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30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×5000=1.4137×</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7</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nm³。立方体微构体体积</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10000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nm³。体积分数为</w:t>
      </w:r>
      <m:oMath>
        <m:r>
          <m:rPr/>
          <w:rPr>
            <w:rFonts w:hint="eastAsia" w:ascii="Cambria Math" w:hAnsi="Cambria Math" w:eastAsia="宋体" w:cs="宋体"/>
            <w:sz w:val="24"/>
            <w:szCs w:val="24"/>
          </w:rPr>
          <m:t>ϕ</m:t>
        </m:r>
      </m:oMath>
      <w:r>
        <w:rPr>
          <w:rFonts w:hint="eastAsia" w:ascii="宋体" w:hAnsi="宋体" w:eastAsia="宋体" w:cs="宋体"/>
          <w:sz w:val="24"/>
          <w:szCs w:val="24"/>
        </w:rPr>
        <w:t>时所需柱体数：</w:t>
      </w:r>
    </w:p>
    <w:p w14:paraId="416B3E72">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N(ϕ)=</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4</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2475755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代入各</w:t>
      </w:r>
      <m:oMath>
        <m:r>
          <m:rPr/>
          <w:rPr>
            <w:rFonts w:hint="eastAsia" w:ascii="Cambria Math" w:hAnsi="Cambria Math" w:eastAsia="宋体" w:cs="宋体"/>
            <w:sz w:val="24"/>
            <w:szCs w:val="24"/>
          </w:rPr>
          <m:t>ϕ</m:t>
        </m:r>
      </m:oMath>
      <w:r>
        <w:rPr>
          <w:rFonts w:hint="eastAsia" w:ascii="宋体" w:hAnsi="宋体" w:eastAsia="宋体" w:cs="宋体"/>
          <w:sz w:val="24"/>
          <w:szCs w:val="24"/>
        </w:rPr>
        <w:t>值，四舍五入取整，得表1。</w:t>
      </w:r>
    </w:p>
    <w:p w14:paraId="0DA2923C">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各体积分数对应柱体数</w:t>
      </w:r>
    </w:p>
    <w:tbl>
      <w:tblPr>
        <w:tblStyle w:val="32"/>
        <w:tblW w:w="0" w:type="auto"/>
        <w:jc w:val="center"/>
        <w:tblLayout w:type="autofit"/>
        <w:tblCellMar>
          <w:top w:w="0" w:type="dxa"/>
          <w:left w:w="108" w:type="dxa"/>
          <w:bottom w:w="0" w:type="dxa"/>
          <w:right w:w="108" w:type="dxa"/>
        </w:tblCellMar>
      </w:tblPr>
      <w:tblGrid>
        <w:gridCol w:w="3060"/>
        <w:gridCol w:w="3060"/>
        <w:gridCol w:w="3060"/>
      </w:tblGrid>
      <w:tr w14:paraId="156BA883">
        <w:tblPrEx>
          <w:tblCellMar>
            <w:top w:w="0" w:type="dxa"/>
            <w:left w:w="108" w:type="dxa"/>
            <w:bottom w:w="0" w:type="dxa"/>
            <w:right w:w="108" w:type="dxa"/>
          </w:tblCellMar>
        </w:tblPrEx>
        <w:trPr>
          <w:cantSplit/>
          <w:tblHeader/>
          <w:jc w:val="center"/>
        </w:trPr>
        <w:tc>
          <w:tcPr>
            <w:tcW w:w="306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722E4D5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体积分数 </w:t>
            </w:r>
            <m:oMath>
              <m:r>
                <m:rPr/>
                <w:rPr>
                  <w:rFonts w:hint="eastAsia" w:ascii="Cambria Math" w:hAnsi="Cambria Math" w:eastAsia="宋体" w:cs="宋体"/>
                  <w:color w:val="000000"/>
                  <w:sz w:val="24"/>
                  <w:szCs w:val="24"/>
                </w:rPr>
                <m:t>ϕ</m:t>
              </m:r>
            </m:oMath>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8328C4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柱体数 </w:t>
            </w:r>
            <m:oMath>
              <m:r>
                <m:rPr/>
                <w:rPr>
                  <w:rFonts w:hint="eastAsia" w:ascii="Cambria Math" w:hAnsi="Cambria Math" w:eastAsia="宋体" w:cs="宋体"/>
                  <w:color w:val="000000"/>
                  <w:sz w:val="24"/>
                  <w:szCs w:val="24"/>
                </w:rPr>
                <m:t>N</m:t>
              </m:r>
            </m:oMath>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5877DD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添加量（累计）</w:t>
            </w:r>
          </w:p>
        </w:tc>
      </w:tr>
      <w:tr w14:paraId="042F6879">
        <w:tblPrEx>
          <w:tblCellMar>
            <w:top w:w="0" w:type="dxa"/>
            <w:left w:w="108" w:type="dxa"/>
            <w:bottom w:w="0" w:type="dxa"/>
            <w:right w:w="108" w:type="dxa"/>
          </w:tblCellMar>
        </w:tblPrEx>
        <w:trPr>
          <w:cantSplit/>
          <w:jc w:val="center"/>
        </w:trPr>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E03D6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0.50%</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FFEA00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E9029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r>
      <w:tr w14:paraId="3E2F2EEB">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B3688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B92F7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6DDD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r>
      <w:tr w14:paraId="50781381">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2D894F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BA4B8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52752D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r>
      <w:tr w14:paraId="0E235252">
        <w:tblPrEx>
          <w:tblCellMar>
            <w:top w:w="0" w:type="dxa"/>
            <w:left w:w="108" w:type="dxa"/>
            <w:bottom w:w="0" w:type="dxa"/>
            <w:right w:w="108" w:type="dxa"/>
          </w:tblCellMar>
        </w:tblPrEx>
        <w:trPr>
          <w:cantSplit/>
          <w:jc w:val="center"/>
        </w:trPr>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2BDE99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0F99A0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269932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r>
    </w:tbl>
    <w:p w14:paraId="7B387CE6">
      <w:pPr>
        <w:spacing w:line="240" w:lineRule="auto"/>
        <w:rPr>
          <w:rFonts w:hint="eastAsia" w:ascii="宋体" w:hAnsi="宋体" w:eastAsia="宋体" w:cs="宋体"/>
          <w:sz w:val="24"/>
          <w:szCs w:val="24"/>
        </w:rPr>
      </w:pPr>
    </w:p>
    <w:p w14:paraId="63D30C4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.1.3 随机柱体生成</w:t>
      </w:r>
    </w:p>
    <w:p w14:paraId="5EE82F6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每根柱体由中心位置</w:t>
      </w:r>
      <m:oMath>
        <m:r>
          <m:rPr/>
          <w:rPr>
            <w:rFonts w:hint="eastAsia" w:ascii="Cambria Math" w:hAnsi="Cambria Math" w:eastAsia="宋体" w:cs="宋体"/>
            <w:sz w:val="24"/>
            <w:szCs w:val="24"/>
          </w:rPr>
          <m:t>C</m:t>
        </m:r>
      </m:oMath>
      <w:r>
        <w:rPr>
          <w:rFonts w:hint="eastAsia" w:ascii="宋体" w:hAnsi="宋体" w:eastAsia="宋体" w:cs="宋体"/>
          <w:sz w:val="24"/>
          <w:szCs w:val="24"/>
        </w:rPr>
        <w:t>和取向单位向量</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sz w:val="24"/>
          <w:szCs w:val="24"/>
        </w:rPr>
        <w:t>唯一确定。中心位置在</w:t>
      </w:r>
      <m:oMath>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内均匀采样：</w:t>
      </w:r>
    </w:p>
    <w:p w14:paraId="7CC669F6">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C~</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5</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557D446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取向单位向量在三维单位球面上均匀采样。采用Marsaglia拒绝采样法[6]：在</w:t>
      </w:r>
      <m:oMath>
        <m:r>
          <m:rPr/>
          <w:rPr>
            <w:rFonts w:hint="eastAsia" w:ascii="Cambria Math" w:hAnsi="Cambria Math" w:eastAsia="宋体" w:cs="宋体"/>
            <w:sz w:val="24"/>
            <w:szCs w:val="24"/>
          </w:rPr>
          <m:t>[−1,1</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内采样候选向量</w:t>
      </w:r>
      <m:oMath>
        <m:r>
          <m:rPr/>
          <w:rPr>
            <w:rFonts w:hint="eastAsia" w:ascii="Cambria Math" w:hAnsi="Cambria Math" w:eastAsia="宋体" w:cs="宋体"/>
            <w:sz w:val="24"/>
            <w:szCs w:val="24"/>
          </w:rPr>
          <m:t>v</m:t>
        </m:r>
      </m:oMath>
      <w:r>
        <w:rPr>
          <w:rFonts w:hint="eastAsia" w:ascii="宋体" w:hAnsi="宋体" w:eastAsia="宋体" w:cs="宋体"/>
          <w:sz w:val="24"/>
          <w:szCs w:val="24"/>
        </w:rPr>
        <w:t>，若</w:t>
      </w:r>
      <m:oMath>
        <m:r>
          <m:rPr/>
          <w:rPr>
            <w:rFonts w:hint="eastAsia" w:ascii="Cambria Math" w:hAnsi="Cambria Math" w:eastAsia="宋体" w:cs="宋体"/>
            <w:sz w:val="24"/>
            <w:szCs w:val="24"/>
          </w:rPr>
          <m:t>0&lt;‖v</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≤1</m:t>
        </m:r>
      </m:oMath>
      <w:r>
        <w:rPr>
          <w:rFonts w:hint="eastAsia" w:ascii="宋体" w:hAnsi="宋体" w:eastAsia="宋体" w:cs="宋体"/>
          <w:sz w:val="24"/>
          <w:szCs w:val="24"/>
        </w:rPr>
        <w:t>，则</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=v/‖v‖</m:t>
        </m:r>
      </m:oMath>
      <w:r>
        <w:rPr>
          <w:rFonts w:hint="eastAsia" w:ascii="宋体" w:hAnsi="宋体" w:eastAsia="宋体" w:cs="宋体"/>
          <w:sz w:val="24"/>
          <w:szCs w:val="24"/>
        </w:rPr>
        <w:t>。该方法产生的点在单位球面上各向同性分布，无极点聚集问题。</w:t>
      </w:r>
    </w:p>
    <w:p w14:paraId="0F94524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柱体两端点由中心沿取向方向延伸半长得到：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sz w:val="24"/>
          <w:szCs w:val="24"/>
        </w:rPr>
        <w:t>。超出立方体边界的部分按截断规则裁剪至</w:t>
      </w:r>
      <m:oMath>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w:t>
      </w:r>
    </w:p>
    <w:p w14:paraId="38CB9553">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.1.4 统计推断</w:t>
      </w:r>
    </w:p>
    <w:p w14:paraId="44FECEA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对每种体积分数</w:t>
      </w:r>
      <m:oMath>
        <m:r>
          <m:rPr/>
          <w:rPr>
            <w:rFonts w:hint="eastAsia" w:ascii="Cambria Math" w:hAnsi="Cambria Math" w:eastAsia="宋体" w:cs="宋体"/>
            <w:sz w:val="24"/>
            <w:szCs w:val="24"/>
          </w:rPr>
          <m:t>ϕ</m:t>
        </m:r>
      </m:oMath>
      <w:r>
        <w:rPr>
          <w:rFonts w:hint="eastAsia" w:ascii="宋体" w:hAnsi="宋体" w:eastAsia="宋体" w:cs="宋体"/>
          <w:sz w:val="24"/>
          <w:szCs w:val="24"/>
        </w:rPr>
        <w:t>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=500</m:t>
        </m:r>
      </m:oMath>
      <w:r>
        <w:rPr>
          <w:rFonts w:hint="eastAsia" w:ascii="宋体" w:hAnsi="宋体" w:eastAsia="宋体" w:cs="宋体"/>
          <w:sz w:val="24"/>
          <w:szCs w:val="24"/>
        </w:rPr>
        <w:t>次试验，导通次数</w:t>
      </w:r>
      <m:oMath>
        <m:r>
          <m:rPr/>
          <w:rPr>
            <w:rFonts w:hint="eastAsia" w:ascii="Cambria Math" w:hAnsi="Cambria Math" w:eastAsia="宋体" w:cs="宋体"/>
            <w:sz w:val="24"/>
            <w:szCs w:val="24"/>
          </w:rPr>
          <m:t>k</m:t>
        </m:r>
      </m:oMath>
      <w:r>
        <w:rPr>
          <w:rFonts w:hint="eastAsia" w:ascii="宋体" w:hAnsi="宋体" w:eastAsia="宋体" w:cs="宋体"/>
          <w:sz w:val="24"/>
          <w:szCs w:val="24"/>
        </w:rPr>
        <w:t>服从二项分布</w:t>
      </w:r>
      <m:oMath>
        <m:r>
          <m:rPr>
            <m:sty m:val="p"/>
          </m:rPr>
          <w:rPr>
            <w:rFonts w:hint="eastAsia" w:ascii="Cambria Math" w:hAnsi="Cambria Math" w:eastAsia="宋体" w:cs="宋体"/>
            <w:sz w:val="24"/>
            <w:szCs w:val="24"/>
          </w:rPr>
          <m:t>Binomial</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,P)</m:t>
        </m:r>
      </m:oMath>
      <w:r>
        <w:rPr>
          <w:rFonts w:hint="eastAsia" w:ascii="宋体" w:hAnsi="宋体" w:eastAsia="宋体" w:cs="宋体"/>
          <w:sz w:val="24"/>
          <w:szCs w:val="24"/>
        </w:rPr>
        <w:t>。导通概率的点估计为</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=k/</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1694719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w:t>
      </w:r>
      <m:oMath>
        <m:r>
          <m:rPr/>
          <w:rPr>
            <w:rFonts w:hint="eastAsia" w:ascii="Cambria Math" w:hAnsi="Cambria Math" w:eastAsia="宋体" w:cs="宋体"/>
            <w:sz w:val="24"/>
            <w:szCs w:val="24"/>
          </w:rPr>
          <m:t>0&lt;</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&lt;1</m:t>
        </m:r>
      </m:oMath>
      <w:r>
        <w:rPr>
          <w:rFonts w:hint="eastAsia" w:ascii="宋体" w:hAnsi="宋体" w:eastAsia="宋体" w:cs="宋体"/>
          <w:sz w:val="24"/>
          <w:szCs w:val="24"/>
        </w:rPr>
        <w:t>的情况（0.50%、0.60%、0.70%），采用Wald正态近似[3]计算95%置信区间：</w:t>
      </w:r>
    </w:p>
    <w:p w14:paraId="2351EB95">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±1.96</m:t>
              </m:r>
              <m:rad>
                <m:radPr>
                  <m:degHide m:val="1"/>
                  <m:ctrlPr>
                    <w:rPr>
                      <w:rFonts w:hint="eastAsia" w:ascii="Cambria Math" w:hAnsi="Cambria Math" w:eastAsia="宋体" w:cs="宋体"/>
                      <w:sz w:val="24"/>
                      <w:szCs w:val="24"/>
                    </w:rPr>
                  </m:ctrlPr>
                </m:radPr>
                <m:deg>
                  <m:ctrlPr>
                    <w:rPr>
                      <w:rFonts w:hint="eastAsia" w:ascii="Cambria Math" w:hAnsi="Cambria Math" w:eastAsia="宋体" w:cs="宋体"/>
                      <w:sz w:val="24"/>
                      <w:szCs w:val="24"/>
                    </w:rPr>
                  </m:ctrlPr>
                </m:deg>
                <m:e>
                  <m:f>
                    <m:fPr>
                      <m:ctrlPr>
                        <w:rPr>
                          <w:rFonts w:hint="eastAsia" w:ascii="Cambria Math" w:hAnsi="Cambria Math" w:eastAsia="宋体" w:cs="宋体"/>
                          <w:sz w:val="24"/>
                          <w:szCs w:val="24"/>
                        </w:rPr>
                      </m:ctrlPr>
                    </m:fPr>
                    <m:num>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rad>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6</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76FBE79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对于极端概率</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=1.0000</m:t>
        </m:r>
      </m:oMath>
      <w:r>
        <w:rPr>
          <w:rFonts w:hint="eastAsia" w:ascii="宋体" w:hAnsi="宋体" w:eastAsia="宋体" w:cs="宋体"/>
          <w:sz w:val="24"/>
          <w:szCs w:val="24"/>
        </w:rPr>
        <w:t>（1.00%，500/500全部导通），Wald区间退化为单点</w:t>
      </w:r>
      <m:oMath>
        <m:r>
          <m:rPr/>
          <w:rPr>
            <w:rFonts w:hint="eastAsia" w:ascii="Cambria Math" w:hAnsi="Cambria Math" w:eastAsia="宋体" w:cs="宋体"/>
            <w:sz w:val="24"/>
            <w:szCs w:val="24"/>
          </w:rPr>
          <m:t>[1,1]</m:t>
        </m:r>
      </m:oMath>
      <w:r>
        <w:rPr>
          <w:rFonts w:hint="eastAsia" w:ascii="宋体" w:hAnsi="宋体" w:eastAsia="宋体" w:cs="宋体"/>
          <w:sz w:val="24"/>
          <w:szCs w:val="24"/>
        </w:rPr>
        <w:t>无法反映统计不确定性。改用Clopper-Pearson精确二项置信区间：置信下界为Beta分布的0.025分位数，当</w:t>
      </w:r>
      <m:oMath>
        <m:r>
          <m:rPr/>
          <w:rPr>
            <w:rFonts w:hint="eastAsia" w:ascii="Cambria Math" w:hAnsi="Cambria Math" w:eastAsia="宋体" w:cs="宋体"/>
            <w:sz w:val="24"/>
            <w:szCs w:val="24"/>
          </w:rPr>
          <m:t>k=</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时，单侧95%置信下界为：</w:t>
      </w:r>
    </w:p>
    <w:p w14:paraId="56A80D8A">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=(0.05</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0.05</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1/500</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=0.9940</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7</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61BD1E1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即虽然在500次试验中导通率为100%，真实导通概率以95%置信度不低于99.40%。</w:t>
      </w:r>
    </w:p>
    <w:p w14:paraId="1F0A127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.2 结果分析</w:t>
      </w:r>
    </w:p>
    <w:p w14:paraId="6D5E9A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模型以Python 3.13实现，基于NumPy、SciPy和GCPM核心模块。随机种子固定为42以确保可复现。四种体积分数各500次试验，总计2000次独立模拟，结果汇总于表2。</w:t>
      </w:r>
    </w:p>
    <w:p w14:paraId="03A41715">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MC-GCPM逾渗模拟结果（500次/组）</w:t>
      </w:r>
    </w:p>
    <w:tbl>
      <w:tblPr>
        <w:tblStyle w:val="32"/>
        <w:tblW w:w="0" w:type="auto"/>
        <w:jc w:val="center"/>
        <w:tblLayout w:type="autofit"/>
        <w:tblCellMar>
          <w:top w:w="0" w:type="dxa"/>
          <w:left w:w="108" w:type="dxa"/>
          <w:bottom w:w="0" w:type="dxa"/>
          <w:right w:w="108" w:type="dxa"/>
        </w:tblCellMar>
      </w:tblPr>
      <w:tblGrid>
        <w:gridCol w:w="1308"/>
        <w:gridCol w:w="1263"/>
        <w:gridCol w:w="1513"/>
        <w:gridCol w:w="1622"/>
        <w:gridCol w:w="1506"/>
        <w:gridCol w:w="2100"/>
      </w:tblGrid>
      <w:tr w14:paraId="30862393">
        <w:tblPrEx>
          <w:tblCellMar>
            <w:top w:w="0" w:type="dxa"/>
            <w:left w:w="108" w:type="dxa"/>
            <w:bottom w:w="0" w:type="dxa"/>
            <w:right w:w="108" w:type="dxa"/>
          </w:tblCellMar>
        </w:tblPrEx>
        <w:trPr>
          <w:cantSplit/>
          <w:tblHeader/>
          <w:jc w:val="center"/>
        </w:trPr>
        <w:tc>
          <w:tcPr>
            <w:tcW w:w="1308"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24254B9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126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3429BD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51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BD78A4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62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0012D7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150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1E0413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标准误差</w:t>
            </w:r>
          </w:p>
        </w:tc>
        <w:tc>
          <w:tcPr>
            <w:tcW w:w="199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CB8512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95%置信区间</w:t>
            </w:r>
          </w:p>
        </w:tc>
      </w:tr>
      <w:tr w14:paraId="0F732FD7">
        <w:tblPrEx>
          <w:tblCellMar>
            <w:top w:w="0" w:type="dxa"/>
            <w:left w:w="108" w:type="dxa"/>
            <w:bottom w:w="0" w:type="dxa"/>
            <w:right w:w="108" w:type="dxa"/>
          </w:tblCellMar>
        </w:tblPrEx>
        <w:trPr>
          <w:cantSplit/>
          <w:jc w:val="center"/>
        </w:trPr>
        <w:tc>
          <w:tcPr>
            <w:tcW w:w="130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BD5B5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0.50%</w:t>
            </w:r>
          </w:p>
        </w:tc>
        <w:tc>
          <w:tcPr>
            <w:tcW w:w="126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53F8AF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c>
          <w:tcPr>
            <w:tcW w:w="151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F025D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61</w:t>
            </w:r>
          </w:p>
        </w:tc>
        <w:tc>
          <w:tcPr>
            <w:tcW w:w="162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707FC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12.20%</w:t>
            </w:r>
          </w:p>
        </w:tc>
        <w:tc>
          <w:tcPr>
            <w:tcW w:w="150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1838D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1.46%</w:t>
            </w:r>
          </w:p>
        </w:tc>
        <w:tc>
          <w:tcPr>
            <w:tcW w:w="199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6482D8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[9.33%, 15.07%]</w:t>
            </w:r>
          </w:p>
        </w:tc>
      </w:tr>
      <w:tr w14:paraId="3A97B553">
        <w:tblPrEx>
          <w:tblCellMar>
            <w:top w:w="0" w:type="dxa"/>
            <w:left w:w="108" w:type="dxa"/>
            <w:bottom w:w="0" w:type="dxa"/>
            <w:right w:w="108" w:type="dxa"/>
          </w:tblCellMar>
        </w:tblPrEx>
        <w:trPr>
          <w:cantSplit/>
          <w:jc w:val="center"/>
        </w:trPr>
        <w:tc>
          <w:tcPr>
            <w:tcW w:w="130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D9F630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0.60%</w:t>
            </w:r>
          </w:p>
        </w:tc>
        <w:tc>
          <w:tcPr>
            <w:tcW w:w="126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64ACFA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5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3A7F2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159</w:t>
            </w:r>
          </w:p>
        </w:tc>
        <w:tc>
          <w:tcPr>
            <w:tcW w:w="162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1A263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31.80%</w:t>
            </w:r>
          </w:p>
        </w:tc>
        <w:tc>
          <w:tcPr>
            <w:tcW w:w="150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B60292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2.08%</w:t>
            </w:r>
          </w:p>
        </w:tc>
        <w:tc>
          <w:tcPr>
            <w:tcW w:w="199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04E5DD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[27.72%,35.88%]</w:t>
            </w:r>
          </w:p>
        </w:tc>
      </w:tr>
      <w:tr w14:paraId="788F8CD3">
        <w:tblPrEx>
          <w:tblCellMar>
            <w:top w:w="0" w:type="dxa"/>
            <w:left w:w="108" w:type="dxa"/>
            <w:bottom w:w="0" w:type="dxa"/>
            <w:right w:w="108" w:type="dxa"/>
          </w:tblCellMar>
        </w:tblPrEx>
        <w:trPr>
          <w:cantSplit/>
          <w:jc w:val="center"/>
        </w:trPr>
        <w:tc>
          <w:tcPr>
            <w:tcW w:w="130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C929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0.70%</w:t>
            </w:r>
          </w:p>
        </w:tc>
        <w:tc>
          <w:tcPr>
            <w:tcW w:w="126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FBC0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5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E8045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318</w:t>
            </w:r>
          </w:p>
        </w:tc>
        <w:tc>
          <w:tcPr>
            <w:tcW w:w="162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E010E1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63.60%</w:t>
            </w:r>
          </w:p>
        </w:tc>
        <w:tc>
          <w:tcPr>
            <w:tcW w:w="150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04313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2.15%</w:t>
            </w:r>
          </w:p>
        </w:tc>
        <w:tc>
          <w:tcPr>
            <w:tcW w:w="199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D6AB9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[59.38%,67.82%]</w:t>
            </w:r>
          </w:p>
        </w:tc>
      </w:tr>
      <w:tr w14:paraId="2037FCA7">
        <w:tblPrEx>
          <w:tblCellMar>
            <w:top w:w="0" w:type="dxa"/>
            <w:left w:w="108" w:type="dxa"/>
            <w:bottom w:w="0" w:type="dxa"/>
            <w:right w:w="108" w:type="dxa"/>
          </w:tblCellMar>
        </w:tblPrEx>
        <w:trPr>
          <w:cantSplit/>
          <w:jc w:val="center"/>
        </w:trPr>
        <w:tc>
          <w:tcPr>
            <w:tcW w:w="130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ED989F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w:t>
            </w:r>
          </w:p>
        </w:tc>
        <w:tc>
          <w:tcPr>
            <w:tcW w:w="126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9F6055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c>
          <w:tcPr>
            <w:tcW w:w="151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3AF0E0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w:t>
            </w:r>
          </w:p>
        </w:tc>
        <w:tc>
          <w:tcPr>
            <w:tcW w:w="162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6438A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w:t>
            </w:r>
          </w:p>
        </w:tc>
        <w:tc>
          <w:tcPr>
            <w:tcW w:w="150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83FF82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199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B1F48F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[99.40%,100.0%]*</w:t>
            </w:r>
          </w:p>
        </w:tc>
      </w:tr>
    </w:tbl>
    <w:p w14:paraId="0FC0E295">
      <w:pPr>
        <w:spacing w:line="240" w:lineRule="auto"/>
        <w:rPr>
          <w:rFonts w:hint="eastAsia" w:ascii="宋体" w:hAnsi="宋体" w:eastAsia="宋体" w:cs="宋体"/>
          <w:sz w:val="24"/>
          <w:szCs w:val="24"/>
        </w:rPr>
      </w:pPr>
    </w:p>
    <w:p>
      <w:pPr>
        <w:jc w:val="center"/>
      </w:pPr>
      <w:r>
        <w:rPr>
          <w:b/>
          <w:sz w:val="18"/>
        </w:rPr>
        <w:t>图5 500次MC实验连通频数分布（4组填充率phi=0.50%/0.60%/0.70%/1.00%对比）</w:t>
      </w:r>
    </w:p>
    <w:p>
      <w:pPr>
        <w:jc w:val="center"/>
      </w:pPr>
      <w:r>
        <w:drawing>
          <wp:inline xmlns:a="http://schemas.openxmlformats.org/drawingml/2006/main" xmlns:pic="http://schemas.openxmlformats.org/drawingml/2006/picture">
            <wp:extent cx="5029200" cy="1526264"/>
            <wp:docPr id="2" name="Picture 2"/>
            <wp:cNvGraphicFramePr>
              <a:graphicFrameLocks noChangeAspect="1"/>
            </wp:cNvGraphicFramePr>
            <a:graphic>
              <a:graphicData uri="http://schemas.openxmlformats.org/drawingml/2006/picture">
                <pic:pic>
                  <pic:nvPicPr>
                    <pic:cNvPr id="0" name="v4_fig5_mc_histogram.png"/>
                    <pic:cNvPicPr/>
                  </pic:nvPicPr>
                  <pic:blipFill>
                    <a:blip r:embed="rId12"/>
                    <a:stretch>
                      <a:fillRect/>
                    </a:stretch>
                  </pic:blipFill>
                  <pic:spPr>
                    <a:xfrm>
                      <a:off x="0" y="0"/>
                      <a:ext cx="5029200" cy="1526264"/>
                    </a:xfrm>
                    <a:prstGeom prst="rect"/>
                  </pic:spPr>
                </pic:pic>
              </a:graphicData>
            </a:graphic>
          </wp:inline>
        </w:drawing>
      </w:r>
    </w:p>
    <w:p/>
    <w:p w14:paraId="0A12A4B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&gt; *1.00%组使用Clopper-Pearson精确区间下界，上界取1。</w:t>
      </w:r>
    </w:p>
    <w:p w14:paraId="367B6ED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.3 逾渗转变分析</w:t>
      </w:r>
    </w:p>
    <w:p w14:paraId="1B69E1C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图1展示了导通概率随体积分数的变化曲线。整个转变呈现经典的逾渗S型曲线特征[1,2]：</w:t>
      </w:r>
    </w:p>
    <w:p w14:paraId="5C40693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**亚阈值区（</w:t>
      </w:r>
      <m:oMath>
        <m:r>
          <m:rPr/>
          <w:rPr>
            <w:rFonts w:hint="eastAsia" w:ascii="Cambria Math" w:hAnsi="Cambria Math" w:eastAsia="宋体" w:cs="宋体"/>
            <w:sz w:val="24"/>
            <w:szCs w:val="24"/>
          </w:rPr>
          <m:t>ϕ=0.50%</m:t>
        </m:r>
      </m:oMath>
      <w:r>
        <w:rPr>
          <w:rFonts w:hint="eastAsia" w:ascii="宋体" w:hAnsi="宋体" w:eastAsia="宋体" w:cs="宋体"/>
          <w:sz w:val="24"/>
          <w:szCs w:val="24"/>
        </w:rPr>
        <w:t>）**：导通概率仅12.20%，体系远低于逾渗阈值。尽管95%置信区间下界为9.33%（显著大于零），这并非表明真实逾渗阈值低于0.50%，而是三维有限尺寸效应的体现——在</w:t>
      </w:r>
      <m:oMath>
        <m:r>
          <m:rPr/>
          <w:rPr>
            <w:rFonts w:hint="eastAsia" w:ascii="Cambria Math" w:hAnsi="Cambria Math" w:eastAsia="宋体" w:cs="宋体"/>
            <w:sz w:val="24"/>
            <w:szCs w:val="24"/>
          </w:rPr>
          <m:t>10000×10000×10000</m:t>
        </m:r>
      </m:oMath>
      <w:r>
        <w:rPr>
          <w:rFonts w:hint="eastAsia" w:ascii="宋体" w:hAnsi="宋体" w:eastAsia="宋体" w:cs="宋体"/>
          <w:sz w:val="24"/>
          <w:szCs w:val="24"/>
        </w:rPr>
        <w:t xml:space="preserve"> nm³的受限空间中，少量柱体偶然形成跨接路径的概率非零。随系统尺寸增大，该概率将呈指数衰减至零[1]。</w:t>
      </w:r>
    </w:p>
    <w:p>
      <w:pPr>
        <w:jc w:val="center"/>
      </w:pPr>
      <w:r>
        <w:rPr>
          <w:b/>
          <w:sz w:val="18"/>
        </w:rPr>
        <w:t>图6 自适应二分搜索算法流程图（Clopper-Pearson CI判断+收敛判据，输出phi_min=0.82%, N=580）</w:t>
      </w:r>
    </w:p>
    <w:p>
      <w:pPr>
        <w:jc w:val="center"/>
      </w:pPr>
      <w:r>
        <w:drawing>
          <wp:inline xmlns:a="http://schemas.openxmlformats.org/drawingml/2006/main" xmlns:pic="http://schemas.openxmlformats.org/drawingml/2006/picture">
            <wp:extent cx="4572000" cy="3102848"/>
            <wp:docPr id="1" name="Picture 1"/>
            <wp:cNvGraphicFramePr>
              <a:graphicFrameLocks noChangeAspect="1"/>
            </wp:cNvGraphicFramePr>
            <a:graphic>
              <a:graphicData uri="http://schemas.openxmlformats.org/drawingml/2006/picture">
                <pic:pic>
                  <pic:nvPicPr>
                    <pic:cNvPr id="0" name="v4_fig3_binary_search.png"/>
                    <pic:cNvPicPr/>
                  </pic:nvPicPr>
                  <pic:blipFill>
                    <a:blip r:embed="rId11"/>
                    <a:stretch>
                      <a:fillRect/>
                    </a:stretch>
                  </pic:blipFill>
                  <pic:spPr>
                    <a:xfrm>
                      <a:off x="0" y="0"/>
                      <a:ext cx="4572000" cy="3102848"/>
                    </a:xfrm>
                    <a:prstGeom prst="rect"/>
                  </pic:spPr>
                </pic:pic>
              </a:graphicData>
            </a:graphic>
          </wp:inline>
        </w:drawing>
      </w:r>
    </w:p>
    <w:p/>
    <w:p w14:paraId="2D500A2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**逾渗转变区（</w:t>
      </w:r>
      <m:oMath>
        <m:r>
          <m:rPr/>
          <w:rPr>
            <w:rFonts w:hint="eastAsia" w:ascii="Cambria Math" w:hAnsi="Cambria Math" w:eastAsia="宋体" w:cs="宋体"/>
            <w:sz w:val="24"/>
            <w:szCs w:val="24"/>
          </w:rPr>
          <m:t>ϕ=0.60%~0.70%</m:t>
        </m:r>
      </m:oMath>
      <w:r>
        <w:rPr>
          <w:rFonts w:hint="eastAsia" w:ascii="宋体" w:hAnsi="宋体" w:eastAsia="宋体" w:cs="宋体"/>
          <w:sz w:val="24"/>
          <w:szCs w:val="24"/>
        </w:rPr>
        <w:t>）**：导通概率从31.80%急剧上升至63.60%。这是逾渗转变的核心区间——导电网络从"偶尔形成"过渡到"大概率形成"。线性插值给出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=0.60%+</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0.50−0.318</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0.636−0.318</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×0.10%≈0.66%</m:t>
        </m:r>
      </m:oMath>
      <w:r>
        <w:rPr>
          <w:rFonts w:hint="eastAsia" w:ascii="宋体" w:hAnsi="宋体" w:eastAsia="宋体" w:cs="宋体"/>
          <w:sz w:val="24"/>
          <w:szCs w:val="24"/>
        </w:rPr>
        <w:t>（对应约467根柱体）处</w:t>
      </w:r>
      <m:oMath>
        <m:r>
          <m:rPr/>
          <w:rPr>
            <w:rFonts w:hint="eastAsia" w:ascii="Cambria Math" w:hAnsi="Cambria Math" w:eastAsia="宋体" w:cs="宋体"/>
            <w:sz w:val="24"/>
            <w:szCs w:val="24"/>
          </w:rPr>
          <m:t>P=50%</m:t>
        </m:r>
      </m:oMath>
      <w:r>
        <w:rPr>
          <w:rFonts w:hint="eastAsia" w:ascii="宋体" w:hAnsi="宋体" w:eastAsia="宋体" w:cs="宋体"/>
          <w:sz w:val="24"/>
          <w:szCs w:val="24"/>
        </w:rPr>
        <w:t>，与</w:t>
      </w:r>
      <m:oMath>
        <m:r>
          <m:rPr/>
          <w:rPr>
            <w:rFonts w:hint="eastAsia" w:ascii="Cambria Math" w:hAnsi="Cambria Math" w:eastAsia="宋体" w:cs="宋体"/>
            <w:sz w:val="24"/>
            <w:szCs w:val="24"/>
          </w:rPr>
          <m:t>P=50%</m:t>
        </m:r>
      </m:oMath>
      <w:r>
        <w:rPr>
          <w:rFonts w:hint="eastAsia" w:ascii="宋体" w:hAnsi="宋体" w:eastAsia="宋体" w:cs="宋体"/>
          <w:sz w:val="24"/>
          <w:szCs w:val="24"/>
        </w:rPr>
        <w:t>的经典逾渗阈值定义一致。</w:t>
      </w:r>
    </w:p>
    <w:p w14:paraId="0468F8B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**超阈值区（</w:t>
      </w:r>
      <m:oMath>
        <m:r>
          <m:rPr/>
          <w:rPr>
            <w:rFonts w:hint="eastAsia" w:ascii="Cambria Math" w:hAnsi="Cambria Math" w:eastAsia="宋体" w:cs="宋体"/>
            <w:sz w:val="24"/>
            <w:szCs w:val="24"/>
          </w:rPr>
          <m:t>ϕ=1.00%</m:t>
        </m:r>
      </m:oMath>
      <w:r>
        <w:rPr>
          <w:rFonts w:hint="eastAsia" w:ascii="宋体" w:hAnsi="宋体" w:eastAsia="宋体" w:cs="宋体"/>
          <w:sz w:val="24"/>
          <w:szCs w:val="24"/>
        </w:rPr>
        <w:t>）**：500次试验全部导通，Clopper-Pearson下界为99.40%。表明体系已深度进入逾渗饱和区，导电网络的形成几乎是必然事件。在该密度下，柱体间平均距离减小，连通分量充分发育，逾渗路径高度冗余。</w:t>
      </w:r>
    </w:p>
    <w:p w14:paraId="5244A718">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.4 与问题一逾渗阈值的对比</w:t>
      </w:r>
    </w:p>
    <w:p w14:paraId="3B61F02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问题一中，基于附件给定坐标的确定性分析得到逾渗阈值区间</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Q1</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∈[0.017%,0.069%]</m:t>
        </m:r>
      </m:oMath>
      <w:r>
        <w:rPr>
          <w:rFonts w:hint="eastAsia" w:ascii="宋体" w:hAnsi="宋体" w:eastAsia="宋体" w:cs="宋体"/>
          <w:sz w:val="24"/>
          <w:szCs w:val="24"/>
        </w:rPr>
        <w:t>。问题二中，基于完全随机填充的蒙特卡洛分析得到</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。两者相差约10至40倍，需从两种配置模式的几何本质予以解释。</w:t>
      </w:r>
    </w:p>
    <w:p w14:paraId="473451B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电极成核效应：问题一附件坐标的显著特征是大量柱体端点恰好位于电极面（</w:t>
      </w:r>
      <m:oMath>
        <m:r>
          <m:rPr/>
          <w:rPr>
            <w:rFonts w:hint="eastAsia" w:ascii="Cambria Math" w:hAnsi="Cambria Math" w:eastAsia="宋体" w:cs="宋体"/>
            <w:sz w:val="24"/>
            <w:szCs w:val="24"/>
          </w:rPr>
          <m:t>X=±5000</m:t>
        </m:r>
      </m:oMath>
      <w:r>
        <w:rPr>
          <w:rFonts w:hint="eastAsia" w:ascii="宋体" w:hAnsi="宋体" w:eastAsia="宋体" w:cs="宋体"/>
          <w:sz w:val="24"/>
          <w:szCs w:val="24"/>
        </w:rPr>
        <w:t xml:space="preserve"> nm）。以Sheet 1为例，12根柱体中有3根的一端直接位于左电极面。这些"电极成核"柱体为导电网络提供了预置的电极接触点，使体系只需在体相中形成较短的桥接路径即可实现逾渗，大幅降低了有效阈值。</w:t>
      </w:r>
    </w:p>
    <w:p w14:paraId="24E6A5D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桥接路径长度差异：有电极成核时，逾渗只需要"体相桥接"——将左右两侧的成核柱体通过若干中间柱体连接。无成核时，逾渗需要"电极接触+体相桥接"两个步骤——柱体首先要随机靠近电极面形成接触，然后再彼此连接形成跨接路径。两步过程的联合概率远低于单步过程。该解释与排除体积逾渗理论[3]一致——电极面作为"种子"降低了逾渗的有效排除体积。此外，高长径比填料在复合材料中的逾渗行为亦受填料-基体界面和分散状态影响[4,8]，这些因素在确定性和随机两种配置下均可能发挥作用。</w:t>
      </w:r>
    </w:p>
    <w:p w14:paraId="676A2D7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物理对应：问题一的配置对应材料科学中的"晶种生长"或"模板辅助组装"策略——在电极附近预置导电填料以降低逾渗阈值。问题二的配置对应"均匀分散"策略——填料随机分布，逾渗行为由经典三维连续逾渗理论描述。两种策略均为实际复合材料制备中的常见路径，各有利弊。</w:t>
      </w:r>
    </w:p>
    <w:p w14:paraId="68CF7F3C">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.5 与逾渗标度理论的对照</w:t>
      </w:r>
    </w:p>
    <w:p w14:paraId="7AF2FE0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MC-GCPM给出的逾渗转变曲线并非一条任意形状的拟合曲线，而是三维连续逾渗普适类的具体实现。将数值结果与标度理论[1,2]对照，可以揭示曲线背后的深层物理规律，并验证模型的合理性。</w:t>
      </w:r>
    </w:p>
    <w:p w14:paraId="2E3A03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（一）逾渗的标度不变性</w:t>
      </w:r>
    </w:p>
    <w:p w14:paraId="48623E1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附近，对于无限大系统，导通概率</w:t>
      </w:r>
      <m:oMath>
        <m:r>
          <m:rPr/>
          <w:rPr>
            <w:rFonts w:hint="eastAsia" w:ascii="Cambria Math" w:hAnsi="Cambria Math" w:eastAsia="宋体" w:cs="宋体"/>
            <w:sz w:val="24"/>
            <w:szCs w:val="24"/>
          </w:rPr>
          <m:t>P(ϕ)</m:t>
        </m:r>
      </m:oMath>
      <w:r>
        <w:rPr>
          <w:rFonts w:hint="eastAsia" w:ascii="宋体" w:hAnsi="宋体" w:eastAsia="宋体" w:cs="宋体"/>
          <w:sz w:val="24"/>
          <w:szCs w:val="24"/>
        </w:rPr>
        <w:t>满足普适标度律：</w:t>
      </w:r>
    </w:p>
    <w:p w14:paraId="03AA596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P(ϕ)=Φ</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r>
                    <m:rPr/>
                    <w:rPr>
                      <w:rFonts w:hint="eastAsia" w:ascii="Cambria Math" w:hAnsi="Cambria Math" w:eastAsia="宋体" w:cs="宋体"/>
                      <w:sz w:val="24"/>
                      <w:szCs w:val="24"/>
                    </w:rPr>
                    <m:t>σ</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#(8)</m:t>
              </m:r>
              <m:ctrlPr>
                <w:rPr>
                  <w:rFonts w:hint="default" w:hAnsi="Cambria Math" w:cs="宋体"/>
                  <w:i w:val="0"/>
                  <w:sz w:val="24"/>
                  <w:szCs w:val="24"/>
                  <w:lang w:val="en-US" w:eastAsia="zh-CN"/>
                </w:rPr>
              </m:ctrlPr>
            </m:e>
          </m:eqArr>
        </m:oMath>
      </m:oMathPara>
    </w:p>
    <w:p w14:paraId="115380B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r>
          <m:rPr/>
          <w:rPr>
            <w:rFonts w:hint="eastAsia" w:ascii="Cambria Math" w:hAnsi="Cambria Math" w:eastAsia="宋体" w:cs="宋体"/>
            <w:sz w:val="24"/>
            <w:szCs w:val="24"/>
          </w:rPr>
          <m:t>Φ</m:t>
        </m:r>
      </m:oMath>
      <w:r>
        <w:rPr>
          <w:rFonts w:hint="eastAsia" w:ascii="宋体" w:hAnsi="宋体" w:eastAsia="宋体" w:cs="宋体"/>
          <w:sz w:val="24"/>
          <w:szCs w:val="24"/>
        </w:rPr>
        <w:t>是与系统微观细节无关的普适标度函数，</w:t>
      </w:r>
      <m:oMath>
        <m:r>
          <m:rPr/>
          <w:rPr>
            <w:rFonts w:hint="eastAsia" w:ascii="Cambria Math" w:hAnsi="Cambria Math" w:eastAsia="宋体" w:cs="宋体"/>
            <w:sz w:val="24"/>
            <w:szCs w:val="24"/>
          </w:rPr>
          <m:t>σ</m:t>
        </m:r>
      </m:oMath>
      <w:r>
        <w:rPr>
          <w:rFonts w:hint="eastAsia" w:ascii="宋体" w:hAnsi="宋体" w:eastAsia="宋体" w:cs="宋体"/>
          <w:sz w:val="24"/>
          <w:szCs w:val="24"/>
        </w:rPr>
        <w:t>为标度宽度。</w:t>
      </w:r>
      <m:oMath>
        <m:r>
          <m:rPr/>
          <w:rPr>
            <w:rFonts w:hint="eastAsia" w:ascii="Cambria Math" w:hAnsi="Cambria Math" w:eastAsia="宋体" w:cs="宋体"/>
            <w:sz w:val="24"/>
            <w:szCs w:val="24"/>
          </w:rPr>
          <m:t>Φ</m:t>
        </m:r>
      </m:oMath>
      <w:r>
        <w:rPr>
          <w:rFonts w:hint="eastAsia" w:ascii="宋体" w:hAnsi="宋体" w:eastAsia="宋体" w:cs="宋体"/>
          <w:sz w:val="24"/>
          <w:szCs w:val="24"/>
        </w:rPr>
        <w:t>的形式仅取决于空间维度和逾渗类型（点逾渗或连续逾渗），与填料的具体几何形状无关。这一普适性意味着，金属A柱体（长径比</w:t>
      </w:r>
      <m:oMath>
        <m:r>
          <m:rPr/>
          <w:rPr>
            <w:rFonts w:hint="eastAsia" w:ascii="Cambria Math" w:hAnsi="Cambria Math" w:eastAsia="宋体" w:cs="宋体"/>
            <w:sz w:val="24"/>
            <w:szCs w:val="24"/>
          </w:rPr>
          <m:t>α=83.3</m:t>
        </m:r>
      </m:oMath>
      <w:r>
        <w:rPr>
          <w:rFonts w:hint="eastAsia" w:ascii="宋体" w:hAnsi="宋体" w:eastAsia="宋体" w:cs="宋体"/>
          <w:sz w:val="24"/>
          <w:szCs w:val="24"/>
        </w:rPr>
        <w:t>的圆柱）和同样长径比的椭球体、甚至完全不同的填料几何，只要同属三维连续逾渗，都应落在同一条标度曲线上。</w:t>
      </w:r>
    </w:p>
    <w:p w14:paraId="1ED067C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三维连续逾渗的标度宽度</w:t>
      </w:r>
      <m:oMath>
        <m:r>
          <m:rPr/>
          <w:rPr>
            <w:rFonts w:hint="eastAsia" w:ascii="Cambria Math" w:hAnsi="Cambria Math" w:eastAsia="宋体" w:cs="宋体"/>
            <w:sz w:val="24"/>
            <w:szCs w:val="24"/>
          </w:rPr>
          <m:t>σ</m:t>
        </m:r>
      </m:oMath>
      <w:r>
        <w:rPr>
          <w:rFonts w:hint="eastAsia" w:ascii="宋体" w:hAnsi="宋体" w:eastAsia="宋体" w:cs="宋体"/>
          <w:sz w:val="24"/>
          <w:szCs w:val="24"/>
        </w:rPr>
        <w:t>与系统尺寸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之间的关系由关联长度指数</w:t>
      </w:r>
      <m:oMath>
        <m:r>
          <m:rPr/>
          <w:rPr>
            <w:rFonts w:hint="eastAsia" w:ascii="Cambria Math" w:hAnsi="Cambria Math" w:eastAsia="宋体" w:cs="宋体"/>
            <w:sz w:val="24"/>
            <w:szCs w:val="24"/>
          </w:rPr>
          <m:t>ν≈0.88</m:t>
        </m:r>
      </m:oMath>
      <w:r>
        <w:rPr>
          <w:rFonts w:hint="eastAsia" w:ascii="宋体" w:hAnsi="宋体" w:eastAsia="宋体" w:cs="宋体"/>
          <w:sz w:val="24"/>
          <w:szCs w:val="24"/>
        </w:rPr>
        <w:t>[1]决定：</w:t>
      </w:r>
    </w:p>
    <w:p w14:paraId="041155FE">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σ(</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−1/0.88</m:t>
                  </m:r>
                  <m:ctrlPr>
                    <w:rPr>
                      <w:rFonts w:hint="eastAsia" w:ascii="Cambria Math" w:hAnsi="Cambria Math" w:eastAsia="宋体" w:cs="宋体"/>
                      <w:sz w:val="24"/>
                      <w:szCs w:val="24"/>
                    </w:rPr>
                  </m:ctrlPr>
                </m:sup>
              </m:sSubSup>
              <m:r>
                <m:rPr>
                  <m:sty m:val="p"/>
                </m:rPr>
                <w:rPr>
                  <w:rFonts w:hint="default" w:ascii="Cambria Math" w:hAnsi="Cambria Math" w:cs="宋体"/>
                  <w:sz w:val="24"/>
                  <w:szCs w:val="24"/>
                  <w:lang w:val="en-US" w:eastAsia="zh-CN"/>
                </w:rPr>
                <m:t>#(9)</m:t>
              </m:r>
              <m:ctrlPr>
                <w:rPr>
                  <w:rFonts w:hint="default" w:hAnsi="Cambria Math" w:cs="宋体"/>
                  <w:i w:val="0"/>
                  <w:sz w:val="24"/>
                  <w:szCs w:val="24"/>
                  <w:lang w:val="en-US" w:eastAsia="zh-CN"/>
                </w:rPr>
              </m:ctrlPr>
            </m:e>
          </m:eqArr>
        </m:oMath>
      </m:oMathPara>
    </w:p>
    <w:p w14:paraId="52C7311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nm的系统，</w:t>
      </w:r>
      <m:oMath>
        <m:r>
          <m:rPr/>
          <w:rPr>
            <w:rFonts w:hint="eastAsia" w:ascii="Cambria Math" w:hAnsi="Cambria Math" w:eastAsia="宋体" w:cs="宋体"/>
            <w:sz w:val="24"/>
            <w:szCs w:val="24"/>
          </w:rPr>
          <m:t>σ</m:t>
        </m:r>
      </m:oMath>
      <w:r>
        <w:rPr>
          <w:rFonts w:hint="eastAsia" w:ascii="宋体" w:hAnsi="宋体" w:eastAsia="宋体" w:cs="宋体"/>
          <w:sz w:val="24"/>
          <w:szCs w:val="24"/>
        </w:rPr>
        <w:t>为有限值，导致</w:t>
      </w:r>
      <m:oMath>
        <m:r>
          <m:rPr/>
          <w:rPr>
            <w:rFonts w:hint="eastAsia" w:ascii="Cambria Math" w:hAnsi="Cambria Math" w:eastAsia="宋体" w:cs="宋体"/>
            <w:sz w:val="24"/>
            <w:szCs w:val="24"/>
          </w:rPr>
          <m:t>P(ϕ)</m:t>
        </m:r>
      </m:oMath>
      <w:r>
        <w:rPr>
          <w:rFonts w:hint="eastAsia" w:ascii="宋体" w:hAnsi="宋体" w:eastAsia="宋体" w:cs="宋体"/>
          <w:sz w:val="24"/>
          <w:szCs w:val="24"/>
        </w:rPr>
        <w:t>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附近呈现平滑的S型过渡而非阶跃。随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r>
          <m:rPr/>
          <w:rPr>
            <w:rFonts w:hint="eastAsia" w:ascii="Cambria Math" w:hAnsi="Cambria Math" w:eastAsia="宋体" w:cs="宋体"/>
            <w:sz w:val="24"/>
            <w:szCs w:val="24"/>
          </w:rPr>
          <m:t>σ→0</m:t>
        </m:r>
      </m:oMath>
      <w:r>
        <w:rPr>
          <w:rFonts w:hint="eastAsia" w:ascii="宋体" w:hAnsi="宋体" w:eastAsia="宋体" w:cs="宋体"/>
          <w:sz w:val="24"/>
          <w:szCs w:val="24"/>
        </w:rPr>
        <w:t>，</w:t>
      </w:r>
      <m:oMath>
        <m:r>
          <m:rPr/>
          <w:rPr>
            <w:rFonts w:hint="eastAsia" w:ascii="Cambria Math" w:hAnsi="Cambria Math" w:eastAsia="宋体" w:cs="宋体"/>
            <w:sz w:val="24"/>
            <w:szCs w:val="24"/>
          </w:rPr>
          <m:t>P(ϕ)</m:t>
        </m:r>
      </m:oMath>
      <w:r>
        <w:rPr>
          <w:rFonts w:hint="eastAsia" w:ascii="宋体" w:hAnsi="宋体" w:eastAsia="宋体" w:cs="宋体"/>
          <w:sz w:val="24"/>
          <w:szCs w:val="24"/>
        </w:rPr>
        <w:t>趋近于阶跃函数。</w:t>
      </w:r>
    </w:p>
    <w:p w14:paraId="435B80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（二）排除体积理论与逾渗阈值的理论估计</w:t>
      </w:r>
    </w:p>
    <w:p w14:paraId="6B7935B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对于长径比为</w:t>
      </w:r>
      <m:oMath>
        <m:r>
          <m:rPr/>
          <w:rPr>
            <w:rFonts w:hint="eastAsia" w:ascii="Cambria Math" w:hAnsi="Cambria Math" w:eastAsia="宋体" w:cs="宋体"/>
            <w:sz w:val="24"/>
            <w:szCs w:val="24"/>
          </w:rPr>
          <m:t>α</m:t>
        </m:r>
      </m:oMath>
      <w:r>
        <w:rPr>
          <w:rFonts w:hint="eastAsia" w:ascii="宋体" w:hAnsi="宋体" w:eastAsia="宋体" w:cs="宋体"/>
          <w:sz w:val="24"/>
          <w:szCs w:val="24"/>
        </w:rPr>
        <w:t>的随机取向棒状填料，Balberg排除体积理论[3]给出：</w:t>
      </w:r>
    </w:p>
    <w:p w14:paraId="1DE002BB">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α</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83.3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≈1.20%</m:t>
              </m:r>
              <m:r>
                <m:rPr>
                  <m:sty m:val="p"/>
                </m:rPr>
                <w:rPr>
                  <w:rFonts w:hint="default" w:ascii="Cambria Math" w:hAnsi="Cambria Math" w:cs="宋体"/>
                  <w:sz w:val="24"/>
                  <w:szCs w:val="24"/>
                  <w:lang w:val="en-US" w:eastAsia="zh-CN"/>
                </w:rPr>
                <m:t>#(10)</m:t>
              </m:r>
              <m:ctrlPr>
                <w:rPr>
                  <w:rFonts w:hint="default" w:hAnsi="Cambria Math" w:cs="宋体"/>
                  <w:i w:val="0"/>
                  <w:sz w:val="24"/>
                  <w:szCs w:val="24"/>
                  <w:lang w:val="en-US" w:eastAsia="zh-CN"/>
                </w:rPr>
              </m:ctrlPr>
            </m:e>
          </m:eqArr>
        </m:oMath>
      </m:oMathPara>
    </w:p>
    <w:p w14:paraId="53C0660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该估计基于"当排除体积的填充因子达到临界值（三维各向同性系统约为2.8）时发生逾渗"的几何判据。</w:t>
      </w:r>
    </w:p>
    <w:p w14:paraId="253E33C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然而，MC-GCPM给出的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，仅为排除体积估计值1.20%的约55%。这一显著偏离揭示了隧穿效应在逾渗中的关键作用，且其影响机制远比简单的"有效半径增大"深刻。</w:t>
      </w:r>
    </w:p>
    <w:p w14:paraId="07CBA59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如果仅将隧穿距离几何等效为柱体半径的增大（</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/2=30.9</m:t>
        </m:r>
      </m:oMath>
      <w:r>
        <w:rPr>
          <w:rFonts w:hint="eastAsia" w:ascii="宋体" w:hAnsi="宋体" w:eastAsia="宋体" w:cs="宋体"/>
          <w:sz w:val="24"/>
          <w:szCs w:val="24"/>
        </w:rPr>
        <w:t xml:space="preserve"> nm），则有效长径比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)≈80.9</m:t>
        </m:r>
      </m:oMath>
      <w:r>
        <w:rPr>
          <w:rFonts w:hint="eastAsia" w:ascii="宋体" w:hAnsi="宋体" w:eastAsia="宋体" w:cs="宋体"/>
          <w:sz w:val="24"/>
          <w:szCs w:val="24"/>
        </w:rPr>
        <w:t>，排除体积估计变为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≈1.24%</m:t>
        </m:r>
      </m:oMath>
      <w:r>
        <w:rPr>
          <w:rFonts w:hint="eastAsia" w:ascii="宋体" w:hAnsi="宋体" w:eastAsia="宋体" w:cs="宋体"/>
          <w:sz w:val="24"/>
          <w:szCs w:val="24"/>
        </w:rPr>
        <w:t>——反而高于无隧穿时的1.20%。这表明简单的几何膨胀模型无法解释逾渗阈值的降低。</w:t>
      </w:r>
    </w:p>
    <w:p w14:paraId="76F70C5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隧穿效应的本质在于连接拓扑的扩展：</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=1.8</m:t>
        </m:r>
      </m:oMath>
      <w:r>
        <w:rPr>
          <w:rFonts w:hint="eastAsia" w:ascii="宋体" w:hAnsi="宋体" w:eastAsia="宋体" w:cs="宋体"/>
          <w:sz w:val="24"/>
          <w:szCs w:val="24"/>
        </w:rPr>
        <w:t xml:space="preserve"> nm使两柱体在表面间距不为零时即可形成导电连接。从逾渗图的角度看，这等价于在每个硬核柱体的外围叠加了一层厚度为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的"软连接壳层"——壳层内的任何点与另一柱体的壳层重叠时即形成连通。这种软连接壳层-壳层的重叠条件比硬核-硬核接触条件更容易满足，从而在更低的体积分数下形成逾渗网络[4]。Ambrosetti等人[4]对隧穿逾渗问题的严格理论分析表明，当</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&gt;0</m:t>
        </m:r>
      </m:oMath>
      <w:r>
        <w:rPr>
          <w:rFonts w:hint="eastAsia" w:ascii="宋体" w:hAnsi="宋体" w:eastAsia="宋体" w:cs="宋体"/>
          <w:sz w:val="24"/>
          <w:szCs w:val="24"/>
        </w:rPr>
        <w:t>时，逾渗阈值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的增大单调下降，其物理机制是软壳层增大了粒子间的有效连接范围，进而降低了达到宏观连通所需的临界密度。</w:t>
      </w:r>
    </w:p>
    <w:p w14:paraId="1426250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因此，</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不仅是MC-GCPM的数值产出，更与隧穿逾渗理论[4]的定性预测一致：对高长径比棒状填料，</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=0.06</m:t>
        </m:r>
      </m:oMath>
      <w:r>
        <w:rPr>
          <w:rFonts w:hint="eastAsia" w:ascii="宋体" w:hAnsi="宋体" w:eastAsia="宋体" w:cs="宋体"/>
          <w:sz w:val="24"/>
          <w:szCs w:val="24"/>
        </w:rPr>
        <w:t>的隧穿强度足以将</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从经典排除体积估计值压低约45%。这一从逾渗理论普适性角度出发的交叉验证，为MC-GCPM模拟结果的物理合理性提供了独立的理论支撑。</w:t>
      </w:r>
    </w:p>
    <w:p w14:paraId="152CAB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（三）有限尺寸标度与系统尺寸外推</w:t>
      </w:r>
    </w:p>
    <w:p w14:paraId="1B98EBC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当前MC-GCPM仅在单一系统尺寸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nm上运行。根据有限尺寸标度理论[1]，逾渗阈值存在以下尺寸依赖性：</w:t>
      </w:r>
    </w:p>
    <w:p w14:paraId="3A504A55">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(∞)+A·</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r>
                <m:rPr>
                  <m:sty m:val="p"/>
                </m:rPr>
                <w:rPr>
                  <w:rFonts w:hint="default" w:ascii="Cambria Math" w:hAnsi="Cambria Math" w:cs="宋体"/>
                  <w:sz w:val="24"/>
                  <w:szCs w:val="24"/>
                  <w:lang w:val="en-US" w:eastAsia="zh-CN"/>
                </w:rPr>
                <m:t>#(11)</m:t>
              </m:r>
              <m:ctrlPr>
                <w:rPr>
                  <w:rFonts w:hint="default" w:hAnsi="Cambria Math" w:cs="宋体"/>
                  <w:i w:val="0"/>
                  <w:sz w:val="24"/>
                  <w:szCs w:val="24"/>
                  <w:lang w:val="en-US" w:eastAsia="zh-CN"/>
                </w:rPr>
              </m:ctrlPr>
            </m:e>
          </m:eqArr>
        </m:oMath>
      </m:oMathPara>
    </w:p>
    <w:p w14:paraId="4308FC0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为热力学极限下的逾渗阈值，</w:t>
      </w:r>
      <m:oMath>
        <m:r>
          <m:rPr/>
          <w:rPr>
            <w:rFonts w:hint="eastAsia" w:ascii="Cambria Math" w:hAnsi="Cambria Math" w:eastAsia="宋体" w:cs="宋体"/>
            <w:sz w:val="24"/>
            <w:szCs w:val="24"/>
          </w:rPr>
          <m:t>ν≈0.88</m:t>
        </m:r>
      </m:oMath>
      <w:r>
        <w:rPr>
          <w:rFonts w:hint="eastAsia" w:ascii="宋体" w:hAnsi="宋体" w:eastAsia="宋体" w:cs="宋体"/>
          <w:sz w:val="24"/>
          <w:szCs w:val="24"/>
        </w:rPr>
        <w:t>为关联长度指数。对于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nm的有限系统，</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高于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，即有限系统倾向于高估逾渗阈值。如果后续在多个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值上运行MC-GCPM，可通过线性回归拟合</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 xml:space="preserve"> vs </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oMath>
      <w:r>
        <w:rPr>
          <w:rFonts w:hint="eastAsia" w:ascii="宋体" w:hAnsi="宋体" w:eastAsia="宋体" w:cs="宋体"/>
          <w:sz w:val="24"/>
          <w:szCs w:val="24"/>
        </w:rPr>
        <w:t>，外推得到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——即该材料体系在宏观尺度下的真实逾渗阈值。</w:t>
      </w:r>
    </w:p>
    <w:p w14:paraId="63EAF50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（四）普适标度函数的验证</w:t>
      </w:r>
    </w:p>
    <w:p w14:paraId="5048AE1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将四组MC数据点按</w:t>
      </w:r>
      <m:oMath>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)/σ</m:t>
        </m:r>
      </m:oMath>
      <w:r>
        <w:rPr>
          <w:rFonts w:hint="eastAsia" w:ascii="宋体" w:hAnsi="宋体" w:eastAsia="宋体" w:cs="宋体"/>
          <w:sz w:val="24"/>
          <w:szCs w:val="24"/>
        </w:rPr>
        <w:t>变换后，应落在普适标度函数</w:t>
      </w:r>
      <m:oMath>
        <m:r>
          <m:rPr/>
          <w:rPr>
            <w:rFonts w:hint="eastAsia" w:ascii="Cambria Math" w:hAnsi="Cambria Math" w:eastAsia="宋体" w:cs="宋体"/>
            <w:sz w:val="24"/>
            <w:szCs w:val="24"/>
          </w:rPr>
          <m:t>Φ</m:t>
        </m:r>
      </m:oMath>
      <w:r>
        <w:rPr>
          <w:rFonts w:hint="eastAsia" w:ascii="宋体" w:hAnsi="宋体" w:eastAsia="宋体" w:cs="宋体"/>
          <w:sz w:val="24"/>
          <w:szCs w:val="24"/>
        </w:rPr>
        <w:t>上。以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为原点，取</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σ</m:t>
            </m:r>
            <m:ctrlPr>
              <w:rPr>
                <w:rFonts w:hint="eastAsia" w:ascii="Cambria Math" w:hAnsi="Cambria Math" w:eastAsia="宋体" w:cs="宋体"/>
                <w:sz w:val="24"/>
                <w:szCs w:val="24"/>
              </w:rPr>
            </m:ctrlPr>
          </m:e>
        </m:acc>
      </m:oMath>
      <w:r>
        <w:rPr>
          <w:rFonts w:hint="eastAsia" w:ascii="宋体" w:hAnsi="宋体" w:eastAsia="宋体" w:cs="宋体"/>
          <w:sz w:val="24"/>
          <w:szCs w:val="24"/>
        </w:rPr>
        <w:t>为</w:t>
      </w:r>
      <m:oMath>
        <m:r>
          <m:rPr/>
          <w:rPr>
            <w:rFonts w:hint="eastAsia" w:ascii="Cambria Math" w:hAnsi="Cambria Math" w:eastAsia="宋体" w:cs="宋体"/>
            <w:sz w:val="24"/>
            <w:szCs w:val="24"/>
          </w:rPr>
          <m:t>P=0.318</m:t>
        </m:r>
      </m:oMath>
      <w:r>
        <w:rPr>
          <w:rFonts w:hint="eastAsia" w:ascii="宋体" w:hAnsi="宋体" w:eastAsia="宋体" w:cs="宋体"/>
          <w:sz w:val="24"/>
          <w:szCs w:val="24"/>
        </w:rPr>
        <w:t>和</w:t>
      </w:r>
      <m:oMath>
        <m:r>
          <m:rPr/>
          <w:rPr>
            <w:rFonts w:hint="eastAsia" w:ascii="Cambria Math" w:hAnsi="Cambria Math" w:eastAsia="宋体" w:cs="宋体"/>
            <w:sz w:val="24"/>
            <w:szCs w:val="24"/>
          </w:rPr>
          <m:t>P=0.636</m:t>
        </m:r>
      </m:oMath>
      <w:r>
        <w:rPr>
          <w:rFonts w:hint="eastAsia" w:ascii="宋体" w:hAnsi="宋体" w:eastAsia="宋体" w:cs="宋体"/>
          <w:sz w:val="24"/>
          <w:szCs w:val="24"/>
        </w:rPr>
        <w:t>两点间的</w:t>
      </w:r>
      <m:oMath>
        <m:r>
          <m:rPr/>
          <w:rPr>
            <w:rFonts w:hint="eastAsia" w:ascii="Cambria Math" w:hAnsi="Cambria Math" w:eastAsia="宋体" w:cs="宋体"/>
            <w:sz w:val="24"/>
            <w:szCs w:val="24"/>
          </w:rPr>
          <m:t>ϕ</m:t>
        </m:r>
      </m:oMath>
      <w:r>
        <w:rPr>
          <w:rFonts w:hint="eastAsia" w:ascii="宋体" w:hAnsi="宋体" w:eastAsia="宋体" w:cs="宋体"/>
          <w:sz w:val="24"/>
          <w:szCs w:val="24"/>
        </w:rPr>
        <w:t>间距的近似值（约</w:t>
      </w:r>
      <m:oMath>
        <m:r>
          <m:rPr/>
          <w:rPr>
            <w:rFonts w:hint="eastAsia" w:ascii="Cambria Math" w:hAnsi="Cambria Math" w:eastAsia="宋体" w:cs="宋体"/>
            <w:sz w:val="24"/>
            <w:szCs w:val="24"/>
          </w:rPr>
          <m:t>0.10%/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(0.636)−</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(0.318)</m:t>
        </m:r>
      </m:oMath>
      <w:r>
        <w:rPr>
          <w:rFonts w:hint="eastAsia" w:ascii="宋体" w:hAnsi="宋体" w:eastAsia="宋体" w:cs="宋体"/>
          <w:sz w:val="24"/>
          <w:szCs w:val="24"/>
        </w:rPr>
        <w:t>），可将四组数据映射至标度坐标。若数据点对齐良好，即验证了MC-GCPM模拟结果属于三维连续逾渗普适类。若有系统性偏离，则说明体系可能受隧穿距离或有限尺寸效应的影响而偏离标准标度行为——这本身也是值得讨论的物理问题。</w:t>
      </w:r>
    </w:p>
    <w:p w14:paraId="749C416C">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 xml:space="preserve"> 问题三：临界体积分数精确定位</w:t>
      </w:r>
    </w:p>
    <w:p w14:paraId="355666F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问题二建立了随机逾渗转变曲线并标定了标度参数。问题三在此基础上精确定位满足P&gt;=90%的最小体积分数——这是材料设计的核心工程参数。</w:t>
      </w:r>
    </w:p>
    <w:p w14:paraId="418B2B8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8.1</w:t>
      </w:r>
      <w:r>
        <w:rPr>
          <w:rFonts w:hint="eastAsia" w:ascii="宋体" w:hAnsi="宋体" w:eastAsia="宋体" w:cs="宋体"/>
          <w:b/>
          <w:sz w:val="24"/>
          <w:szCs w:val="24"/>
        </w:rPr>
        <w:t xml:space="preserve"> 模型的建立与求解</w:t>
      </w:r>
    </w:p>
    <w:p w14:paraId="37CC85F3">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w:t>
      </w:r>
      <w:r>
        <w:rPr>
          <w:rFonts w:hint="eastAsia" w:ascii="宋体" w:hAnsi="宋体" w:eastAsia="宋体" w:cs="宋体"/>
          <w:b/>
          <w:i w:val="0"/>
          <w:iCs w:val="0"/>
          <w:color w:val="auto"/>
          <w:sz w:val="24"/>
          <w:szCs w:val="24"/>
          <w:lang w:val="en-US" w:eastAsia="zh-CN"/>
        </w:rPr>
        <w:t xml:space="preserve">.1 </w:t>
      </w:r>
      <w:r>
        <w:rPr>
          <w:rFonts w:hint="eastAsia" w:ascii="宋体" w:hAnsi="宋体" w:eastAsia="宋体" w:cs="宋体"/>
          <w:b/>
          <w:i w:val="0"/>
          <w:iCs w:val="0"/>
          <w:color w:val="auto"/>
          <w:sz w:val="24"/>
          <w:szCs w:val="24"/>
        </w:rPr>
        <w:t>建模思路</w:t>
      </w:r>
      <w:r>
        <w:rPr>
          <w:rFonts w:hint="eastAsia" w:ascii="宋体" w:hAnsi="宋体" w:eastAsia="宋体" w:cs="宋体"/>
          <w:b/>
          <w:i w:val="0"/>
          <w:iCs w:val="0"/>
          <w:color w:val="auto"/>
          <w:sz w:val="24"/>
          <w:szCs w:val="24"/>
          <w:lang w:eastAsia="zh-CN"/>
        </w:rPr>
        <w:t>（</w:t>
      </w:r>
      <w:r>
        <w:rPr>
          <w:rFonts w:hint="eastAsia" w:ascii="宋体" w:hAnsi="宋体" w:eastAsia="宋体" w:cs="宋体"/>
          <w:b/>
          <w:i w:val="0"/>
          <w:iCs w:val="0"/>
          <w:color w:val="auto"/>
          <w:sz w:val="24"/>
          <w:szCs w:val="24"/>
        </w:rPr>
        <w:t>自适应二分搜索算法</w:t>
      </w:r>
      <w:r>
        <w:rPr>
          <w:rFonts w:hint="eastAsia" w:ascii="宋体" w:hAnsi="宋体" w:eastAsia="宋体" w:cs="宋体"/>
          <w:b/>
          <w:i w:val="0"/>
          <w:iCs w:val="0"/>
          <w:color w:val="auto"/>
          <w:sz w:val="24"/>
          <w:szCs w:val="24"/>
          <w:lang w:eastAsia="zh-CN"/>
        </w:rPr>
        <w:t>）</w:t>
      </w:r>
    </w:p>
    <w:p w14:paraId="56B4CD5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将问题转化为求根问题</w:t>
      </w:r>
      <m:oMath>
        <m:r>
          <m:rPr/>
          <w:rPr>
            <w:rFonts w:hint="eastAsia" w:ascii="Cambria Math" w:hAnsi="Cambria Math" w:eastAsia="宋体" w:cs="宋体"/>
            <w:sz w:val="24"/>
            <w:szCs w:val="24"/>
          </w:rPr>
          <m:t>P(ϕ)−0.90=0</m:t>
        </m:r>
      </m:oMath>
      <w:r>
        <w:rPr>
          <w:rFonts w:hint="eastAsia" w:ascii="宋体" w:hAnsi="宋体" w:eastAsia="宋体" w:cs="宋体"/>
          <w:sz w:val="24"/>
          <w:szCs w:val="24"/>
        </w:rPr>
        <w:t>，其中</w:t>
      </w:r>
      <m:oMath>
        <m:r>
          <m:rPr/>
          <w:rPr>
            <w:rFonts w:hint="eastAsia" w:ascii="Cambria Math" w:hAnsi="Cambria Math" w:eastAsia="宋体" w:cs="宋体"/>
            <w:sz w:val="24"/>
            <w:szCs w:val="24"/>
          </w:rPr>
          <m:t>P(ϕ)</m:t>
        </m:r>
      </m:oMath>
      <w:r>
        <w:rPr>
          <w:rFonts w:hint="eastAsia" w:ascii="宋体" w:hAnsi="宋体" w:eastAsia="宋体" w:cs="宋体"/>
          <w:sz w:val="24"/>
          <w:szCs w:val="24"/>
        </w:rPr>
        <w:t>通过MC-GCPM以给定的统计精度估计。核心设计决策有三：每步样本量的分配策略（粗筛少→搜索中→验证多）、二分决策的统计准则（CI判定 vs 点估计判定）、终点的保守性处理（保守取上界以规避误判风险）。算法流程如下：</w:t>
      </w:r>
    </w:p>
    <w:p w14:paraId="05EB5ACF">
      <w:pPr>
        <w:spacing w:before="80" w:after="80" w:line="240" w:lineRule="auto"/>
        <w:ind w:left="227" w:right="113"/>
        <w:rPr>
          <w:rFonts w:hint="eastAsia" w:ascii="宋体" w:hAnsi="宋体" w:eastAsia="宋体" w:cs="宋体"/>
          <w:sz w:val="24"/>
          <w:szCs w:val="24"/>
        </w:rPr>
      </w:pPr>
      <w:r>
        <w:rPr>
          <w:rFonts w:hint="eastAsia" w:ascii="宋体" w:hAnsi="宋体" w:eastAsia="宋体" w:cs="宋体"/>
          <w:sz w:val="24"/>
          <w:szCs w:val="24"/>
        </w:rPr>
        <w:t>粗筛5点(200次/点) → 确定跨越区间 → 二分搜索(300次/步,CI判定) → 精验证3点(500次/点) → 线性插值 → 保守取整输出</w:t>
      </w:r>
    </w:p>
    <w:p w14:paraId="30C9C62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自适应二分搜索算法流程图</w:t>
      </w:r>
    </w:p>
    <w:p w14:paraId="78E2F06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.1.2 三阶段策略设计</w:t>
      </w:r>
    </w:p>
    <w:p w14:paraId="490713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第一阶段（粗筛）：在</w:t>
      </w:r>
      <m:oMath>
        <m:r>
          <m:rPr/>
          <w:rPr>
            <w:rFonts w:hint="eastAsia" w:ascii="Cambria Math" w:hAnsi="Cambria Math" w:eastAsia="宋体" w:cs="宋体"/>
            <w:sz w:val="24"/>
            <w:szCs w:val="24"/>
          </w:rPr>
          <m:t>[0.75%,0.95%]</m:t>
        </m:r>
      </m:oMath>
      <w:r>
        <w:rPr>
          <w:rFonts w:hint="eastAsia" w:ascii="宋体" w:hAnsi="宋体" w:eastAsia="宋体" w:cs="宋体"/>
          <w:sz w:val="24"/>
          <w:szCs w:val="24"/>
        </w:rPr>
        <w:t>内以0.05%步长取5点，各200次试验。200次的CI半宽在</w:t>
      </w:r>
      <m:oMath>
        <m:r>
          <m:rPr/>
          <w:rPr>
            <w:rFonts w:hint="eastAsia" w:ascii="Cambria Math" w:hAnsi="Cambria Math" w:eastAsia="宋体" w:cs="宋体"/>
            <w:sz w:val="24"/>
            <w:szCs w:val="24"/>
          </w:rPr>
          <m:t>P≈90%</m:t>
        </m:r>
      </m:oMath>
      <w:r>
        <w:rPr>
          <w:rFonts w:hint="eastAsia" w:ascii="宋体" w:hAnsi="宋体" w:eastAsia="宋体" w:cs="宋体"/>
          <w:sz w:val="24"/>
          <w:szCs w:val="24"/>
        </w:rPr>
        <w:t>处约为</w:t>
      </w:r>
      <m:oMath>
        <m:r>
          <m:rPr/>
          <w:rPr>
            <w:rFonts w:hint="eastAsia" w:ascii="Cambria Math" w:hAnsi="Cambria Math" w:eastAsia="宋体" w:cs="宋体"/>
            <w:sz w:val="24"/>
            <w:szCs w:val="24"/>
          </w:rPr>
          <m:t>±4.2%</m:t>
        </m:r>
      </m:oMath>
      <w:r>
        <w:rPr>
          <w:rFonts w:hint="eastAsia" w:ascii="宋体" w:hAnsi="宋体" w:eastAsia="宋体" w:cs="宋体"/>
          <w:sz w:val="24"/>
          <w:szCs w:val="24"/>
        </w:rPr>
        <w:t>，足以区分</w:t>
      </w:r>
      <m:oMath>
        <m:r>
          <m:rPr/>
          <w:rPr>
            <w:rFonts w:hint="eastAsia" w:ascii="Cambria Math" w:hAnsi="Cambria Math" w:eastAsia="宋体" w:cs="宋体"/>
            <w:sz w:val="24"/>
            <w:szCs w:val="24"/>
          </w:rPr>
          <m:t>P&lt;70%</m:t>
        </m:r>
      </m:oMath>
      <w:r>
        <w:rPr>
          <w:rFonts w:hint="eastAsia" w:ascii="宋体" w:hAnsi="宋体" w:eastAsia="宋体" w:cs="宋体"/>
          <w:sz w:val="24"/>
          <w:szCs w:val="24"/>
        </w:rPr>
        <w:t>和</w:t>
      </w:r>
      <m:oMath>
        <m:r>
          <m:rPr/>
          <w:rPr>
            <w:rFonts w:hint="eastAsia" w:ascii="Cambria Math" w:hAnsi="Cambria Math" w:eastAsia="宋体" w:cs="宋体"/>
            <w:sz w:val="24"/>
            <w:szCs w:val="24"/>
          </w:rPr>
          <m:t>P&gt;95%</m:t>
        </m:r>
      </m:oMath>
      <w:r>
        <w:rPr>
          <w:rFonts w:hint="eastAsia" w:ascii="宋体" w:hAnsi="宋体" w:eastAsia="宋体" w:cs="宋体"/>
          <w:sz w:val="24"/>
          <w:szCs w:val="24"/>
        </w:rPr>
        <w:t>的区域，但对90%附近的精确定位精度不足。粗筛的目的是快速确定</w:t>
      </w:r>
      <m:oMath>
        <m:r>
          <m:rPr/>
          <w:rPr>
            <w:rFonts w:hint="eastAsia" w:ascii="Cambria Math" w:hAnsi="Cambria Math" w:eastAsia="宋体" w:cs="宋体"/>
            <w:sz w:val="24"/>
            <w:szCs w:val="24"/>
          </w:rPr>
          <m:t>P</m:t>
        </m:r>
      </m:oMath>
      <w:r>
        <w:rPr>
          <w:rFonts w:hint="eastAsia" w:ascii="宋体" w:hAnsi="宋体" w:eastAsia="宋体" w:cs="宋体"/>
          <w:sz w:val="24"/>
          <w:szCs w:val="24"/>
        </w:rPr>
        <w:t>跨越90%的区间边界——即找到相邻两点</w:t>
      </w:r>
      <m:oMath>
        <m:r>
          <m:rPr/>
          <w:rPr>
            <w:rFonts w:hint="eastAsia" w:ascii="Cambria Math" w:hAnsi="Cambria Math" w:eastAsia="宋体" w:cs="宋体"/>
            <w:sz w:val="24"/>
            <w:szCs w:val="24"/>
          </w:rPr>
          <m:t>(a,b)</m:t>
        </m:r>
      </m:oMath>
      <w:r>
        <w:rPr>
          <w:rFonts w:hint="eastAsia" w:ascii="宋体" w:hAnsi="宋体" w:eastAsia="宋体" w:cs="宋体"/>
          <w:sz w:val="24"/>
          <w:szCs w:val="24"/>
        </w:rPr>
        <w:t>满足</w:t>
      </w:r>
      <m:oMath>
        <m:r>
          <m:rPr/>
          <w:rPr>
            <w:rFonts w:hint="eastAsia" w:ascii="Cambria Math" w:hAnsi="Cambria Math" w:eastAsia="宋体" w:cs="宋体"/>
            <w:sz w:val="24"/>
            <w:szCs w:val="24"/>
          </w:rPr>
          <m:t>P(a)&lt;0.90≤P(b)</m:t>
        </m:r>
      </m:oMath>
      <w:r>
        <w:rPr>
          <w:rFonts w:hint="eastAsia" w:ascii="宋体" w:hAnsi="宋体" w:eastAsia="宋体" w:cs="宋体"/>
          <w:sz w:val="24"/>
          <w:szCs w:val="24"/>
        </w:rPr>
        <w:t>，其中</w:t>
      </w:r>
      <m:oMath>
        <m:r>
          <m:rPr/>
          <w:rPr>
            <w:rFonts w:hint="eastAsia" w:ascii="Cambria Math" w:hAnsi="Cambria Math" w:eastAsia="宋体" w:cs="宋体"/>
            <w:sz w:val="24"/>
            <w:szCs w:val="24"/>
          </w:rPr>
          <m:t>P</m:t>
        </m:r>
      </m:oMath>
      <w:r>
        <w:rPr>
          <w:rFonts w:hint="eastAsia" w:ascii="宋体" w:hAnsi="宋体" w:eastAsia="宋体" w:cs="宋体"/>
          <w:sz w:val="24"/>
          <w:szCs w:val="24"/>
        </w:rPr>
        <w:t>以点估计衡量。</w:t>
      </w:r>
    </w:p>
    <w:p w14:paraId="2A3782C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第二阶段（二分搜索）：在</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内取中点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，各300次试验。300次的CI半宽在</w:t>
      </w:r>
      <m:oMath>
        <m:r>
          <m:rPr/>
          <w:rPr>
            <w:rFonts w:hint="eastAsia" w:ascii="Cambria Math" w:hAnsi="Cambria Math" w:eastAsia="宋体" w:cs="宋体"/>
            <w:sz w:val="24"/>
            <w:szCs w:val="24"/>
          </w:rPr>
          <m:t>P≈90%</m:t>
        </m:r>
      </m:oMath>
      <w:r>
        <w:rPr>
          <w:rFonts w:hint="eastAsia" w:ascii="宋体" w:hAnsi="宋体" w:eastAsia="宋体" w:cs="宋体"/>
          <w:sz w:val="24"/>
          <w:szCs w:val="24"/>
        </w:rPr>
        <w:t>处约为</w:t>
      </w:r>
      <m:oMath>
        <m:r>
          <m:rPr/>
          <w:rPr>
            <w:rFonts w:hint="eastAsia" w:ascii="Cambria Math" w:hAnsi="Cambria Math" w:eastAsia="宋体" w:cs="宋体"/>
            <w:sz w:val="24"/>
            <w:szCs w:val="24"/>
          </w:rPr>
          <m:t>±3.4%</m:t>
        </m:r>
      </m:oMath>
      <w:r>
        <w:rPr>
          <w:rFonts w:hint="eastAsia" w:ascii="宋体" w:hAnsi="宋体" w:eastAsia="宋体" w:cs="宋体"/>
          <w:sz w:val="24"/>
          <w:szCs w:val="24"/>
        </w:rPr>
        <w:t>，决策准则如下：</w:t>
      </w:r>
    </w:p>
    <w:p w14:paraId="125FDFF6">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：即使考虑抽样误差，真实概率以95%置信度不低于90%。设置</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F60FA95">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upper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m:t>
        </m:r>
      </m:oMath>
      <w:r>
        <w:rPr>
          <w:rFonts w:hint="eastAsia" w:ascii="宋体" w:hAnsi="宋体" w:eastAsia="宋体" w:cs="宋体"/>
          <w:sz w:val="24"/>
          <w:szCs w:val="24"/>
        </w:rPr>
        <w:t>：真实概率以95%置信度低于90%。设置</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3808B007">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若CI跨越0.90（</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upper</m:t>
            </m:r>
            <m:ctrlPr>
              <w:rPr>
                <w:rFonts w:hint="eastAsia" w:ascii="Cambria Math" w:hAnsi="Cambria Math" w:eastAsia="宋体" w:cs="宋体"/>
                <w:sz w:val="24"/>
                <w:szCs w:val="24"/>
              </w:rPr>
            </m:ctrlPr>
          </m:sub>
        </m:sSub>
      </m:oMath>
      <w:r>
        <w:rPr>
          <w:rFonts w:hint="eastAsia" w:ascii="宋体" w:hAnsi="宋体" w:eastAsia="宋体" w:cs="宋体"/>
          <w:sz w:val="24"/>
          <w:szCs w:val="24"/>
        </w:rPr>
        <w:t>）：当前样本尚不能给出95%置信度的判定，点估计</w:t>
      </w:r>
      <m:oMath>
        <m:r>
          <m:rPr/>
          <w:rPr>
            <w:rFonts w:hint="eastAsia" w:ascii="Cambria Math" w:hAnsi="Cambria Math" w:eastAsia="宋体" w:cs="宋体"/>
            <w:sz w:val="24"/>
            <w:szCs w:val="24"/>
          </w:rPr>
          <m:t>≥0.90</m:t>
        </m:r>
      </m:oMath>
      <w:r>
        <w:rPr>
          <w:rFonts w:hint="eastAsia" w:ascii="宋体" w:hAnsi="宋体" w:eastAsia="宋体" w:cs="宋体"/>
          <w:sz w:val="24"/>
          <w:szCs w:val="24"/>
        </w:rPr>
        <w:t>时保守取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，否则取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22FA13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迭代至</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&lt;ε=0.01%</m:t>
        </m:r>
      </m:oMath>
      <w:r>
        <w:rPr>
          <w:rFonts w:hint="eastAsia" w:ascii="宋体" w:hAnsi="宋体" w:eastAsia="宋体" w:cs="宋体"/>
          <w:sz w:val="24"/>
          <w:szCs w:val="24"/>
        </w:rPr>
        <w:t>或迭代次数达上限。</w:t>
      </w:r>
    </w:p>
    <w:p w14:paraId="2FEA67B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第三阶段（精验证）：在二分搜索确定的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附近取3个等距点（0.810%、0.815%、0.820%），各500次试验。500次的CI半宽约为</w:t>
      </w:r>
      <m:oMath>
        <m:r>
          <m:rPr/>
          <w:rPr>
            <w:rFonts w:hint="eastAsia" w:ascii="Cambria Math" w:hAnsi="Cambria Math" w:eastAsia="宋体" w:cs="宋体"/>
            <w:sz w:val="24"/>
            <w:szCs w:val="24"/>
          </w:rPr>
          <m:t>±2.6%</m:t>
        </m:r>
      </m:oMath>
      <w:r>
        <w:rPr>
          <w:rFonts w:hint="eastAsia" w:ascii="宋体" w:hAnsi="宋体" w:eastAsia="宋体" w:cs="宋体"/>
          <w:sz w:val="24"/>
          <w:szCs w:val="24"/>
        </w:rPr>
        <w:t>，足以可靠区分89%与91%。最终取首个点估计</w:t>
      </w:r>
      <m:oMath>
        <m:r>
          <m:rPr/>
          <w:rPr>
            <w:rFonts w:hint="eastAsia" w:ascii="Cambria Math" w:hAnsi="Cambria Math" w:eastAsia="宋体" w:cs="宋体"/>
            <w:sz w:val="24"/>
            <w:szCs w:val="24"/>
          </w:rPr>
          <m:t>≥90%</m:t>
        </m:r>
      </m:oMath>
      <w:r>
        <w:rPr>
          <w:rFonts w:hint="eastAsia" w:ascii="宋体" w:hAnsi="宋体" w:eastAsia="宋体" w:cs="宋体"/>
          <w:sz w:val="24"/>
          <w:szCs w:val="24"/>
        </w:rPr>
        <w:t>的</w:t>
      </w:r>
      <m:oMath>
        <m:r>
          <m:rPr/>
          <w:rPr>
            <w:rFonts w:hint="eastAsia" w:ascii="Cambria Math" w:hAnsi="Cambria Math" w:eastAsia="宋体" w:cs="宋体"/>
            <w:sz w:val="24"/>
            <w:szCs w:val="24"/>
          </w:rPr>
          <m:t>ϕ</m:t>
        </m:r>
      </m:oMath>
      <w:r>
        <w:rPr>
          <w:rFonts w:hint="eastAsia" w:ascii="宋体" w:hAnsi="宋体" w:eastAsia="宋体" w:cs="宋体"/>
          <w:sz w:val="24"/>
          <w:szCs w:val="24"/>
        </w:rPr>
        <w:t>值为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oMath>
      <w:r>
        <w:rPr>
          <w:rFonts w:hint="eastAsia" w:ascii="宋体" w:hAnsi="宋体" w:eastAsia="宋体" w:cs="宋体"/>
          <w:sz w:val="24"/>
          <w:szCs w:val="24"/>
        </w:rPr>
        <w:t>，并报告对应的Clopper-Pearson置信区间。</w:t>
      </w:r>
    </w:p>
    <w:p w14:paraId="0AEF485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.1.3 求解算法</w:t>
      </w:r>
    </w:p>
    <w:p w14:paraId="5BC27C2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算法2：自适应二分搜索求临界体积分数</w:t>
      </w:r>
    </w:p>
    <w:p w14:paraId="0665558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粗筛。 对</w:t>
      </w:r>
      <m:oMath>
        <m:r>
          <m:rPr/>
          <w:rPr>
            <w:rFonts w:hint="eastAsia" w:ascii="Cambria Math" w:hAnsi="Cambria Math" w:eastAsia="宋体" w:cs="宋体"/>
            <w:sz w:val="24"/>
            <w:szCs w:val="24"/>
          </w:rPr>
          <m:t>ϕ∈{0.75%,0.80%,0.85%,0.90%,0.95%}</m:t>
        </m:r>
      </m:oMath>
      <w:r>
        <w:rPr>
          <w:rFonts w:hint="eastAsia" w:ascii="宋体" w:hAnsi="宋体" w:eastAsia="宋体" w:cs="宋体"/>
          <w:sz w:val="24"/>
          <w:szCs w:val="24"/>
        </w:rPr>
        <w:t>各执行200次MC-GCPM，得</w:t>
      </w:r>
      <m:oMath>
        <m:r>
          <m:rPr/>
          <w:rPr>
            <w:rFonts w:hint="eastAsia" w:ascii="Cambria Math" w:hAnsi="Cambria Math" w:eastAsia="宋体" w:cs="宋体"/>
            <w:sz w:val="24"/>
            <w:szCs w:val="24"/>
          </w:rPr>
          <m:t>P(ϕ)</m:t>
        </m:r>
      </m:oMath>
      <w:r>
        <w:rPr>
          <w:rFonts w:hint="eastAsia" w:ascii="宋体" w:hAnsi="宋体" w:eastAsia="宋体" w:cs="宋体"/>
          <w:sz w:val="24"/>
          <w:szCs w:val="24"/>
        </w:rPr>
        <w:t>。确定跨越区间</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w:p>
    <w:p w14:paraId="3A9FF44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 xml:space="preserve">Step 2 二分初始化。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704179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二分迭代。 当</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≥ε</m:t>
        </m:r>
      </m:oMath>
      <w:r>
        <w:rPr>
          <w:rFonts w:hint="eastAsia" w:ascii="宋体" w:hAnsi="宋体" w:eastAsia="宋体" w:cs="宋体"/>
          <w:sz w:val="24"/>
          <w:szCs w:val="24"/>
        </w:rPr>
        <w:t>：</w:t>
      </w:r>
    </w:p>
    <w:p w14:paraId="05B08B0A">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xml:space="preserve">•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，计算</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cyl</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p>
    <w:p w14:paraId="35F357CC">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执行300次MC-GCPM，得</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oMath>
      <w:r>
        <w:rPr>
          <w:rFonts w:hint="eastAsia" w:ascii="宋体" w:hAnsi="宋体" w:eastAsia="宋体" w:cs="宋体"/>
          <w:sz w:val="24"/>
          <w:szCs w:val="24"/>
        </w:rPr>
        <w:t>和95% CI</w:t>
      </w:r>
    </w:p>
    <w:p w14:paraId="7034899B">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按CI决策准则更新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oMath>
      <w:r>
        <w:rPr>
          <w:rFonts w:hint="eastAsia" w:ascii="宋体" w:hAnsi="宋体" w:eastAsia="宋体" w:cs="宋体"/>
          <w:sz w:val="24"/>
          <w:szCs w:val="24"/>
        </w:rPr>
        <w:t>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oMath>
    </w:p>
    <w:p w14:paraId="4613CA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精验证。 在</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内取3个等距点，各500次试验。</w:t>
      </w:r>
    </w:p>
    <w:p w14:paraId="65D4EFA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 xml:space="preserve">Step 5 输出。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←min{ϕ:</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(ϕ)≥0.90,</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500</m:t>
        </m:r>
        <m:r>
          <m:rPr>
            <m:sty m:val="p"/>
          </m:rPr>
          <w:rPr>
            <w:rFonts w:hint="eastAsia" w:ascii="Cambria Math" w:hAnsi="Cambria Math" w:eastAsia="宋体" w:cs="宋体"/>
            <w:sz w:val="24"/>
            <w:szCs w:val="24"/>
          </w:rPr>
          <m:t>次验证</m:t>
        </m:r>
        <m:r>
          <m:rPr/>
          <w:rPr>
            <w:rFonts w:hint="eastAsia" w:ascii="Cambria Math" w:hAnsi="Cambria Math" w:eastAsia="宋体" w:cs="宋体"/>
            <w:sz w:val="24"/>
            <w:szCs w:val="24"/>
          </w:rPr>
          <m:t>}</m:t>
        </m:r>
      </m:oMath>
      <w:r>
        <w:rPr>
          <w:rFonts w:hint="eastAsia" w:ascii="宋体" w:hAnsi="宋体" w:eastAsia="宋体" w:cs="宋体"/>
          <w:sz w:val="24"/>
          <w:szCs w:val="24"/>
        </w:rPr>
        <w:t>。</w:t>
      </w:r>
    </w:p>
    <w:p w14:paraId="10F990A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算法2 结束</w:t>
      </w:r>
    </w:p>
    <w:p w14:paraId="67078C7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.2 结果分析</w:t>
      </w:r>
    </w:p>
    <w:p w14:paraId="3BBBAC01">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.2.1 粗筛结果</w:t>
      </w:r>
    </w:p>
    <w:p w14:paraId="394502B3">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第一阶段粗筛结果（200次/点）</w:t>
      </w:r>
    </w:p>
    <w:tbl>
      <w:tblPr>
        <w:tblStyle w:val="32"/>
        <w:tblW w:w="0" w:type="auto"/>
        <w:jc w:val="center"/>
        <w:tblLayout w:type="autofit"/>
        <w:tblCellMar>
          <w:top w:w="0" w:type="dxa"/>
          <w:left w:w="108" w:type="dxa"/>
          <w:bottom w:w="0" w:type="dxa"/>
          <w:right w:w="108" w:type="dxa"/>
        </w:tblCellMar>
      </w:tblPr>
      <w:tblGrid>
        <w:gridCol w:w="1550"/>
        <w:gridCol w:w="1635"/>
        <w:gridCol w:w="1788"/>
        <w:gridCol w:w="1731"/>
        <w:gridCol w:w="2476"/>
      </w:tblGrid>
      <w:tr w14:paraId="291FBE73">
        <w:tblPrEx>
          <w:tblCellMar>
            <w:top w:w="0" w:type="dxa"/>
            <w:left w:w="108" w:type="dxa"/>
            <w:bottom w:w="0" w:type="dxa"/>
            <w:right w:w="108" w:type="dxa"/>
          </w:tblCellMar>
        </w:tblPrEx>
        <w:trPr>
          <w:cantSplit/>
          <w:tblHeader/>
          <w:jc w:val="center"/>
        </w:trPr>
        <w:tc>
          <w:tcPr>
            <w:tcW w:w="155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C23BEA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163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B7C60F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78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E24CFC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73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1B6008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247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31CDA5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r>
      <w:tr w14:paraId="0B42AD84">
        <w:tblPrEx>
          <w:tblCellMar>
            <w:top w:w="0" w:type="dxa"/>
            <w:left w:w="108" w:type="dxa"/>
            <w:bottom w:w="0" w:type="dxa"/>
            <w:right w:w="108" w:type="dxa"/>
          </w:tblCellMar>
        </w:tblPrEx>
        <w:trPr>
          <w:cantSplit/>
          <w:jc w:val="center"/>
        </w:trPr>
        <w:tc>
          <w:tcPr>
            <w:tcW w:w="155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44370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0.75%</w:t>
            </w:r>
          </w:p>
        </w:tc>
        <w:tc>
          <w:tcPr>
            <w:tcW w:w="163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17670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531</w:t>
            </w:r>
          </w:p>
        </w:tc>
        <w:tc>
          <w:tcPr>
            <w:tcW w:w="178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4C6DF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158</w:t>
            </w:r>
          </w:p>
        </w:tc>
        <w:tc>
          <w:tcPr>
            <w:tcW w:w="173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22EF6A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79.00%</w:t>
            </w:r>
          </w:p>
        </w:tc>
        <w:tc>
          <w:tcPr>
            <w:tcW w:w="247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EF9BE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[72.69%, 84.43%]</w:t>
            </w:r>
          </w:p>
        </w:tc>
      </w:tr>
      <w:tr w14:paraId="782DF864">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6BC7F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534759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566</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BC0D3F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179</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58762C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EC9370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[84.40%, 93.38%]</w:t>
            </w:r>
          </w:p>
        </w:tc>
      </w:tr>
      <w:tr w14:paraId="500C20C8">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5593FD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0.85%</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536690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601</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3E6741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191</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15863B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BDC1D9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[91.63%, 97.92%]</w:t>
            </w:r>
          </w:p>
        </w:tc>
      </w:tr>
      <w:tr w14:paraId="101D06E1">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ABB45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0.90%</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40465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637</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27FB8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197</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1D89F5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98.50%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5EA7B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[95.68%, 99.69%]</w:t>
            </w:r>
          </w:p>
        </w:tc>
      </w:tr>
      <w:tr w14:paraId="7485312B">
        <w:tblPrEx>
          <w:tblCellMar>
            <w:top w:w="0" w:type="dxa"/>
            <w:left w:w="108" w:type="dxa"/>
            <w:bottom w:w="0" w:type="dxa"/>
            <w:right w:w="108" w:type="dxa"/>
          </w:tblCellMar>
        </w:tblPrEx>
        <w:trPr>
          <w:cantSplit/>
          <w:jc w:val="center"/>
        </w:trPr>
        <w:tc>
          <w:tcPr>
            <w:tcW w:w="155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1554A5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0.95%</w:t>
            </w:r>
          </w:p>
        </w:tc>
        <w:tc>
          <w:tcPr>
            <w:tcW w:w="163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330689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672</w:t>
            </w:r>
          </w:p>
        </w:tc>
        <w:tc>
          <w:tcPr>
            <w:tcW w:w="178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F95737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198</w:t>
            </w:r>
          </w:p>
        </w:tc>
        <w:tc>
          <w:tcPr>
            <w:tcW w:w="173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FBDA80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99.00%</w:t>
            </w:r>
          </w:p>
        </w:tc>
        <w:tc>
          <w:tcPr>
            <w:tcW w:w="247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9CB2E1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[96.43%, 99.88%]</w:t>
            </w:r>
          </w:p>
        </w:tc>
      </w:tr>
    </w:tbl>
    <w:p w14:paraId="594D0532">
      <w:pPr>
        <w:spacing w:line="240" w:lineRule="auto"/>
        <w:rPr>
          <w:rFonts w:hint="eastAsia" w:ascii="宋体" w:hAnsi="宋体" w:eastAsia="宋体" w:cs="宋体"/>
          <w:sz w:val="24"/>
          <w:szCs w:val="24"/>
        </w:rPr>
      </w:pPr>
    </w:p>
    <w:p w14:paraId="7A0F5768">
      <w:pPr>
        <w:spacing w:line="240" w:lineRule="auto"/>
        <w:ind w:firstLine="420"/>
        <w:jc w:val="both"/>
        <w:rPr>
          <w:rFonts w:hint="eastAsia" w:ascii="宋体" w:hAnsi="宋体" w:eastAsia="宋体" w:cs="宋体"/>
          <w:sz w:val="24"/>
          <w:szCs w:val="24"/>
        </w:rPr>
      </w:pPr>
      <m:oMath>
        <m:r>
          <m:rPr/>
          <w:rPr>
            <w:rFonts w:hint="eastAsia" w:ascii="Cambria Math" w:hAnsi="Cambria Math" w:eastAsia="宋体" w:cs="宋体"/>
            <w:sz w:val="24"/>
            <w:szCs w:val="24"/>
          </w:rPr>
          <m:t>P=90%</m:t>
        </m:r>
      </m:oMath>
      <w:r>
        <w:rPr>
          <w:rFonts w:hint="eastAsia" w:ascii="宋体" w:hAnsi="宋体" w:eastAsia="宋体" w:cs="宋体"/>
          <w:sz w:val="24"/>
          <w:szCs w:val="24"/>
        </w:rPr>
        <w:t>的跨越发生在</w:t>
      </w:r>
      <m:oMath>
        <m:r>
          <m:rPr/>
          <w:rPr>
            <w:rFonts w:hint="eastAsia" w:ascii="Cambria Math" w:hAnsi="Cambria Math" w:eastAsia="宋体" w:cs="宋体"/>
            <w:sz w:val="24"/>
            <w:szCs w:val="24"/>
          </w:rPr>
          <m:t>[0.80%,0.85%]</m:t>
        </m:r>
      </m:oMath>
      <w:r>
        <w:rPr>
          <w:rFonts w:hint="eastAsia" w:ascii="宋体" w:hAnsi="宋体" w:eastAsia="宋体" w:cs="宋体"/>
          <w:sz w:val="24"/>
          <w:szCs w:val="24"/>
        </w:rPr>
        <w:t>。</w:t>
      </w:r>
    </w:p>
    <w:p w14:paraId="2D67C089">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.2.2 二分搜索过程</w:t>
      </w:r>
    </w:p>
    <w:p w14:paraId="1BAAC2C1">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第二阶段二分搜索（300次/步）</w:t>
      </w:r>
    </w:p>
    <w:tbl>
      <w:tblPr>
        <w:tblStyle w:val="32"/>
        <w:tblW w:w="0" w:type="auto"/>
        <w:jc w:val="center"/>
        <w:tblLayout w:type="fixed"/>
        <w:tblCellMar>
          <w:top w:w="0" w:type="dxa"/>
          <w:left w:w="108" w:type="dxa"/>
          <w:bottom w:w="0" w:type="dxa"/>
          <w:right w:w="108" w:type="dxa"/>
        </w:tblCellMar>
      </w:tblPr>
      <w:tblGrid>
        <w:gridCol w:w="530"/>
        <w:gridCol w:w="1327"/>
        <w:gridCol w:w="801"/>
        <w:gridCol w:w="1154"/>
        <w:gridCol w:w="2168"/>
        <w:gridCol w:w="2142"/>
        <w:gridCol w:w="1237"/>
      </w:tblGrid>
      <w:tr w14:paraId="014B6D82">
        <w:tblPrEx>
          <w:tblCellMar>
            <w:top w:w="0" w:type="dxa"/>
            <w:left w:w="108" w:type="dxa"/>
            <w:bottom w:w="0" w:type="dxa"/>
            <w:right w:w="108" w:type="dxa"/>
          </w:tblCellMar>
        </w:tblPrEx>
        <w:trPr>
          <w:cantSplit/>
          <w:tblHeader/>
          <w:jc w:val="center"/>
        </w:trPr>
        <w:tc>
          <w:tcPr>
            <w:tcW w:w="53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44FD5AF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步</w:t>
            </w:r>
          </w:p>
        </w:tc>
        <w:tc>
          <w:tcPr>
            <w:tcW w:w="132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ACD2C95">
            <w:pPr>
              <w:spacing w:after="0" w:line="240" w:lineRule="auto"/>
              <w:ind w:left="0" w:leftChars="0" w:firstLine="0" w:firstLineChars="0"/>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m:sty m:val="p"/>
                      </m:rPr>
                      <w:rPr>
                        <w:rFonts w:hint="eastAsia" w:ascii="Cambria Math" w:hAnsi="Cambria Math" w:eastAsia="宋体" w:cs="宋体"/>
                        <w:color w:val="000000"/>
                        <w:sz w:val="24"/>
                        <w:szCs w:val="24"/>
                      </w:rPr>
                      <m:t>mid</m:t>
                    </m:r>
                    <m:ctrlPr>
                      <w:rPr>
                        <w:rFonts w:hint="eastAsia" w:ascii="Cambria Math" w:hAnsi="Cambria Math" w:eastAsia="宋体" w:cs="宋体"/>
                        <w:b w:val="0"/>
                        <w:color w:val="000000"/>
                        <w:sz w:val="24"/>
                        <w:szCs w:val="24"/>
                      </w:rPr>
                    </m:ctrlPr>
                  </m:sub>
                </m:sSub>
              </m:oMath>
            </m:oMathPara>
          </w:p>
        </w:tc>
        <w:tc>
          <w:tcPr>
            <w:tcW w:w="80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091A04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N</w:t>
            </w:r>
          </w:p>
        </w:tc>
        <w:tc>
          <w:tcPr>
            <w:tcW w:w="1154"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D22F1BC">
            <w:pPr>
              <w:spacing w:after="0" w:line="240" w:lineRule="auto"/>
              <w:jc w:val="center"/>
              <w:rPr>
                <w:rFonts w:hint="eastAsia" w:ascii="宋体" w:hAnsi="宋体" w:eastAsia="宋体" w:cs="宋体"/>
                <w:b w:val="0"/>
                <w:color w:val="000000"/>
                <w:sz w:val="24"/>
                <w:szCs w:val="24"/>
              </w:rPr>
            </w:pPr>
            <m:oMathPara>
              <m:oMath>
                <m:acc>
                  <m:accPr>
                    <m:chr m:val="^"/>
                    <m:ctrlPr>
                      <w:rPr>
                        <w:rFonts w:hint="eastAsia" w:ascii="Cambria Math" w:hAnsi="Cambria Math" w:eastAsia="宋体" w:cs="宋体"/>
                        <w:b w:val="0"/>
                        <w:color w:val="000000"/>
                        <w:sz w:val="24"/>
                        <w:szCs w:val="24"/>
                      </w:rPr>
                    </m:ctrlPr>
                  </m:accPr>
                  <m:e>
                    <m:r>
                      <m:rPr/>
                      <w:rPr>
                        <w:rFonts w:hint="eastAsia" w:ascii="Cambria Math" w:hAnsi="Cambria Math" w:eastAsia="宋体" w:cs="宋体"/>
                        <w:color w:val="000000"/>
                        <w:sz w:val="24"/>
                        <w:szCs w:val="24"/>
                      </w:rPr>
                      <m:t>P</m:t>
                    </m:r>
                    <m:ctrlPr>
                      <w:rPr>
                        <w:rFonts w:hint="eastAsia" w:ascii="Cambria Math" w:hAnsi="Cambria Math" w:eastAsia="宋体" w:cs="宋体"/>
                        <w:b w:val="0"/>
                        <w:color w:val="000000"/>
                        <w:sz w:val="24"/>
                        <w:szCs w:val="24"/>
                      </w:rPr>
                    </m:ctrlPr>
                  </m:e>
                </m:acc>
              </m:oMath>
            </m:oMathPara>
          </w:p>
        </w:tc>
        <w:tc>
          <w:tcPr>
            <w:tcW w:w="216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1802B2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c>
          <w:tcPr>
            <w:tcW w:w="214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1B9084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区间</w:t>
            </w:r>
          </w:p>
        </w:tc>
        <w:tc>
          <w:tcPr>
            <w:tcW w:w="123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598CA0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宽度</w:t>
            </w:r>
          </w:p>
        </w:tc>
      </w:tr>
      <w:tr w14:paraId="5813A7D0">
        <w:tblPrEx>
          <w:tblCellMar>
            <w:top w:w="0" w:type="dxa"/>
            <w:left w:w="108" w:type="dxa"/>
            <w:bottom w:w="0" w:type="dxa"/>
            <w:right w:w="108" w:type="dxa"/>
          </w:tblCellMar>
        </w:tblPrEx>
        <w:trPr>
          <w:cantSplit/>
          <w:jc w:val="center"/>
        </w:trPr>
        <w:tc>
          <w:tcPr>
            <w:tcW w:w="53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77E435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132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CEC721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0.825%</w:t>
            </w:r>
          </w:p>
        </w:tc>
        <w:tc>
          <w:tcPr>
            <w:tcW w:w="80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596159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584</w:t>
            </w:r>
          </w:p>
        </w:tc>
        <w:tc>
          <w:tcPr>
            <w:tcW w:w="1154"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6BA86D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92.00%</w:t>
            </w:r>
          </w:p>
        </w:tc>
        <w:tc>
          <w:tcPr>
            <w:tcW w:w="216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D42CE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[88.33%,94.81%]</w:t>
            </w:r>
          </w:p>
        </w:tc>
        <w:tc>
          <w:tcPr>
            <w:tcW w:w="21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2BD652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[0.800%,0.825%]</w:t>
            </w:r>
          </w:p>
        </w:tc>
        <w:tc>
          <w:tcPr>
            <w:tcW w:w="12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A9571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0.025%</w:t>
            </w:r>
          </w:p>
        </w:tc>
      </w:tr>
      <w:tr w14:paraId="32796E54">
        <w:tblPrEx>
          <w:tblCellMar>
            <w:top w:w="0" w:type="dxa"/>
            <w:left w:w="108" w:type="dxa"/>
            <w:bottom w:w="0" w:type="dxa"/>
            <w:right w:w="108" w:type="dxa"/>
          </w:tblCellMar>
        </w:tblPrEx>
        <w:trPr>
          <w:cantSplit/>
          <w:jc w:val="center"/>
        </w:trPr>
        <w:tc>
          <w:tcPr>
            <w:tcW w:w="53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2D2EF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W w:w="132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3F7E4A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0.8125%</w:t>
            </w:r>
          </w:p>
        </w:tc>
        <w:tc>
          <w:tcPr>
            <w:tcW w:w="80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63B4D4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575</w:t>
            </w:r>
          </w:p>
        </w:tc>
        <w:tc>
          <w:tcPr>
            <w:tcW w:w="1154"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B6C3F5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90.33%</w:t>
            </w:r>
          </w:p>
        </w:tc>
        <w:tc>
          <w:tcPr>
            <w:tcW w:w="216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4D802A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[86.41%,93.43%]</w:t>
            </w:r>
          </w:p>
        </w:tc>
        <w:tc>
          <w:tcPr>
            <w:tcW w:w="21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068715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[0.800%,0.8125%]</w:t>
            </w:r>
          </w:p>
        </w:tc>
        <w:tc>
          <w:tcPr>
            <w:tcW w:w="12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CD8625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0.0125%</w:t>
            </w:r>
          </w:p>
        </w:tc>
      </w:tr>
      <w:tr w14:paraId="72BC1A1B">
        <w:tblPrEx>
          <w:tblCellMar>
            <w:top w:w="0" w:type="dxa"/>
            <w:left w:w="108" w:type="dxa"/>
            <w:bottom w:w="0" w:type="dxa"/>
            <w:right w:w="108" w:type="dxa"/>
          </w:tblCellMar>
        </w:tblPrEx>
        <w:trPr>
          <w:cantSplit/>
          <w:jc w:val="center"/>
        </w:trPr>
        <w:tc>
          <w:tcPr>
            <w:tcW w:w="53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3A1EFC2">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132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FF5526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0.8063%</w:t>
            </w:r>
          </w:p>
        </w:tc>
        <w:tc>
          <w:tcPr>
            <w:tcW w:w="80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3F8E41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570</w:t>
            </w:r>
          </w:p>
        </w:tc>
        <w:tc>
          <w:tcPr>
            <w:tcW w:w="1154"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630895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90.33%</w:t>
            </w:r>
          </w:p>
        </w:tc>
        <w:tc>
          <w:tcPr>
            <w:tcW w:w="216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6733116">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[86.41%,93.43%]</w:t>
            </w:r>
          </w:p>
        </w:tc>
        <w:tc>
          <w:tcPr>
            <w:tcW w:w="214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9610AD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[0.800%,0.8063%]</w:t>
            </w:r>
          </w:p>
        </w:tc>
        <w:tc>
          <w:tcPr>
            <w:tcW w:w="123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E878D3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0.006%</w:t>
            </w:r>
          </w:p>
        </w:tc>
      </w:tr>
    </w:tbl>
    <w:p w14:paraId="6E1871C8">
      <w:pPr>
        <w:spacing w:line="240" w:lineRule="auto"/>
        <w:jc w:val="left"/>
        <w:rPr>
          <w:rFonts w:hint="eastAsia" w:ascii="宋体" w:hAnsi="宋体" w:eastAsia="宋体" w:cs="宋体"/>
          <w:sz w:val="24"/>
          <w:szCs w:val="24"/>
        </w:rPr>
      </w:pPr>
    </w:p>
    <w:p w14:paraId="23DD330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三步后区间宽度降至0.006%，满足</w:t>
      </w:r>
      <m:oMath>
        <m:r>
          <m:rPr/>
          <w:rPr>
            <w:rFonts w:hint="eastAsia" w:ascii="Cambria Math" w:hAnsi="Cambria Math" w:eastAsia="宋体" w:cs="宋体"/>
            <w:sz w:val="24"/>
            <w:szCs w:val="24"/>
          </w:rPr>
          <m:t>ε=0.01%</m:t>
        </m:r>
      </m:oMath>
      <w:r>
        <w:rPr>
          <w:rFonts w:hint="eastAsia" w:ascii="宋体" w:hAnsi="宋体" w:eastAsia="宋体" w:cs="宋体"/>
          <w:sz w:val="24"/>
          <w:szCs w:val="24"/>
        </w:rPr>
        <w:t>的终止条件。注意到第2-3步的点估计均为90.33%——这是因为柱体数仅差5根（575 vs 570），且两轮试验使用了相同的随机种子序列（见§6.1讨论），导致概率高度相关。</w:t>
      </w:r>
    </w:p>
    <w:p w14:paraId="723811A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&gt; 图2 二分搜索收敛过程与逾渗曲线交叉区域放大，见 q3/fig_q3_binary_search.png。左面板为搜索树（三步从[0.80%,0.85%]收敛至[0.80%,0.806%]），右面板为交叉区域逾渗曲线（</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处</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=90.6%</m:t>
        </m:r>
      </m:oMath>
      <w:r>
        <w:rPr>
          <w:rFonts w:hint="eastAsia" w:ascii="宋体" w:hAnsi="宋体" w:eastAsia="宋体" w:cs="宋体"/>
          <w:sz w:val="24"/>
          <w:szCs w:val="24"/>
        </w:rPr>
        <w:t>首次超过90%目标线）。</w:t>
      </w:r>
    </w:p>
    <w:p w14:paraId="38931E7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.2.3 精验证与最终答案</w:t>
      </w:r>
    </w:p>
    <w:p w14:paraId="221BF6C4">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表3 第三阶段精验证结果（500次/点）</w:t>
      </w:r>
    </w:p>
    <w:tbl>
      <w:tblPr>
        <w:tblStyle w:val="32"/>
        <w:tblW w:w="0" w:type="auto"/>
        <w:jc w:val="center"/>
        <w:tblLayout w:type="autofit"/>
        <w:tblCellMar>
          <w:top w:w="0" w:type="dxa"/>
          <w:left w:w="108" w:type="dxa"/>
          <w:bottom w:w="0" w:type="dxa"/>
          <w:right w:w="108" w:type="dxa"/>
        </w:tblCellMar>
      </w:tblPr>
      <w:tblGrid>
        <w:gridCol w:w="1659"/>
        <w:gridCol w:w="1833"/>
        <w:gridCol w:w="1641"/>
        <w:gridCol w:w="1526"/>
        <w:gridCol w:w="2521"/>
      </w:tblGrid>
      <w:tr w14:paraId="2C063244">
        <w:tblPrEx>
          <w:tblCellMar>
            <w:top w:w="0" w:type="dxa"/>
            <w:left w:w="108" w:type="dxa"/>
            <w:bottom w:w="0" w:type="dxa"/>
            <w:right w:w="108" w:type="dxa"/>
          </w:tblCellMar>
        </w:tblPrEx>
        <w:trPr>
          <w:cantSplit/>
          <w:tblHeader/>
          <w:jc w:val="center"/>
        </w:trPr>
        <w:tc>
          <w:tcPr>
            <w:tcW w:w="1659"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DB9560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rPr>
              <w:t>体积分数</w:t>
            </w:r>
          </w:p>
        </w:tc>
        <w:tc>
          <w:tcPr>
            <w:tcW w:w="183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2FE47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64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2C9752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52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D992AB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252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9F93D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r>
      <w:tr w14:paraId="6F1CD5C7">
        <w:tblPrEx>
          <w:tblCellMar>
            <w:top w:w="0" w:type="dxa"/>
            <w:left w:w="108" w:type="dxa"/>
            <w:bottom w:w="0" w:type="dxa"/>
            <w:right w:w="108" w:type="dxa"/>
          </w:tblCellMar>
        </w:tblPrEx>
        <w:trPr>
          <w:cantSplit/>
          <w:jc w:val="center"/>
        </w:trPr>
        <w:tc>
          <w:tcPr>
            <w:tcW w:w="165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FF83F0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0.810%</w:t>
            </w:r>
          </w:p>
        </w:tc>
        <w:tc>
          <w:tcPr>
            <w:tcW w:w="183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0A9FC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573</w:t>
            </w:r>
          </w:p>
        </w:tc>
        <w:tc>
          <w:tcPr>
            <w:tcW w:w="164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C28AF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446</w:t>
            </w:r>
          </w:p>
        </w:tc>
        <w:tc>
          <w:tcPr>
            <w:tcW w:w="152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99D99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89.20%</w:t>
            </w:r>
          </w:p>
        </w:tc>
        <w:tc>
          <w:tcPr>
            <w:tcW w:w="252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48C82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[86.14%, 91.78%]</w:t>
            </w:r>
          </w:p>
        </w:tc>
      </w:tr>
      <w:tr w14:paraId="0438DAED">
        <w:tblPrEx>
          <w:tblCellMar>
            <w:top w:w="0" w:type="dxa"/>
            <w:left w:w="108" w:type="dxa"/>
            <w:bottom w:w="0" w:type="dxa"/>
            <w:right w:w="108" w:type="dxa"/>
          </w:tblCellMar>
        </w:tblPrEx>
        <w:trPr>
          <w:cantSplit/>
          <w:jc w:val="center"/>
        </w:trPr>
        <w:tc>
          <w:tcPr>
            <w:tcW w:w="165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0B0898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0.815%</w:t>
            </w:r>
          </w:p>
        </w:tc>
        <w:tc>
          <w:tcPr>
            <w:tcW w:w="183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9AD5F5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576</w:t>
            </w:r>
          </w:p>
        </w:tc>
        <w:tc>
          <w:tcPr>
            <w:tcW w:w="164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5E199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448</w:t>
            </w:r>
          </w:p>
        </w:tc>
        <w:tc>
          <w:tcPr>
            <w:tcW w:w="152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B0303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89.60%</w:t>
            </w:r>
          </w:p>
        </w:tc>
        <w:tc>
          <w:tcPr>
            <w:tcW w:w="252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05F0C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[86.59%, 92.13%]</w:t>
            </w:r>
          </w:p>
        </w:tc>
      </w:tr>
      <w:tr w14:paraId="78AE2D20">
        <w:tblPrEx>
          <w:tblCellMar>
            <w:top w:w="0" w:type="dxa"/>
            <w:left w:w="108" w:type="dxa"/>
            <w:bottom w:w="0" w:type="dxa"/>
            <w:right w:w="108" w:type="dxa"/>
          </w:tblCellMar>
        </w:tblPrEx>
        <w:trPr>
          <w:cantSplit/>
          <w:jc w:val="center"/>
        </w:trPr>
        <w:tc>
          <w:tcPr>
            <w:tcW w:w="165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5222C8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0.820%</w:t>
            </w:r>
          </w:p>
        </w:tc>
        <w:tc>
          <w:tcPr>
            <w:tcW w:w="183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FDCA4F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580</w:t>
            </w:r>
          </w:p>
        </w:tc>
        <w:tc>
          <w:tcPr>
            <w:tcW w:w="164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C2C91B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453</w:t>
            </w:r>
          </w:p>
        </w:tc>
        <w:tc>
          <w:tcPr>
            <w:tcW w:w="152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B0C099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90.60%</w:t>
            </w:r>
          </w:p>
        </w:tc>
        <w:tc>
          <w:tcPr>
            <w:tcW w:w="252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7D74C4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[87.70%, 93.01%]</w:t>
            </w:r>
          </w:p>
        </w:tc>
      </w:tr>
    </w:tbl>
    <w:p w14:paraId="766B30A4">
      <w:pPr>
        <w:spacing w:line="240" w:lineRule="auto"/>
        <w:rPr>
          <w:rFonts w:hint="eastAsia" w:ascii="宋体" w:hAnsi="宋体" w:eastAsia="宋体" w:cs="宋体"/>
          <w:sz w:val="24"/>
          <w:szCs w:val="24"/>
        </w:rPr>
      </w:pPr>
    </w:p>
    <w:p w14:paraId="51530CC0">
      <w:pPr>
        <w:spacing w:line="240" w:lineRule="auto"/>
        <w:ind w:firstLine="420"/>
        <w:jc w:val="both"/>
        <w:rPr>
          <w:rFonts w:hint="eastAsia" w:ascii="宋体" w:hAnsi="宋体" w:eastAsia="宋体" w:cs="宋体"/>
          <w:sz w:val="24"/>
          <w:szCs w:val="24"/>
        </w:rPr>
      </w:pPr>
      <m:oMath>
        <m:r>
          <m:rPr/>
          <w:rPr>
            <w:rFonts w:hint="eastAsia" w:ascii="Cambria Math" w:hAnsi="Cambria Math" w:eastAsia="宋体" w:cs="宋体"/>
            <w:sz w:val="24"/>
            <w:szCs w:val="24"/>
          </w:rPr>
          <m:t>ϕ=0.820%</m:t>
        </m:r>
      </m:oMath>
      <w:r>
        <w:rPr>
          <w:rFonts w:hint="eastAsia" w:ascii="宋体" w:hAnsi="宋体" w:eastAsia="宋体" w:cs="宋体"/>
          <w:sz w:val="24"/>
          <w:szCs w:val="24"/>
        </w:rPr>
        <w:t>处</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=90.60%&gt;90%</m:t>
        </m:r>
      </m:oMath>
      <w:r>
        <w:rPr>
          <w:rFonts w:hint="eastAsia" w:ascii="宋体" w:hAnsi="宋体" w:eastAsia="宋体" w:cs="宋体"/>
          <w:sz w:val="24"/>
          <w:szCs w:val="24"/>
        </w:rPr>
        <w:t>，且线性插值（</w:t>
      </w:r>
      <m:oMath>
        <m:r>
          <m:rPr/>
          <w:rPr>
            <w:rFonts w:hint="eastAsia" w:ascii="Cambria Math" w:hAnsi="Cambria Math" w:eastAsia="宋体" w:cs="宋体"/>
            <w:sz w:val="24"/>
            <w:szCs w:val="24"/>
          </w:rPr>
          <m:t>ϕ=0.815%</m:t>
        </m:r>
      </m:oMath>
      <w:r>
        <w:rPr>
          <w:rFonts w:hint="eastAsia" w:ascii="宋体" w:hAnsi="宋体" w:eastAsia="宋体" w:cs="宋体"/>
          <w:sz w:val="24"/>
          <w:szCs w:val="24"/>
        </w:rPr>
        <w:t>处89.60%与</w:t>
      </w:r>
      <m:oMath>
        <m:r>
          <m:rPr/>
          <w:rPr>
            <w:rFonts w:hint="eastAsia" w:ascii="Cambria Math" w:hAnsi="Cambria Math" w:eastAsia="宋体" w:cs="宋体"/>
            <w:sz w:val="24"/>
            <w:szCs w:val="24"/>
          </w:rPr>
          <m:t>ϕ=0.820%</m:t>
        </m:r>
      </m:oMath>
      <w:r>
        <w:rPr>
          <w:rFonts w:hint="eastAsia" w:ascii="宋体" w:hAnsi="宋体" w:eastAsia="宋体" w:cs="宋体"/>
          <w:sz w:val="24"/>
          <w:szCs w:val="24"/>
        </w:rPr>
        <w:t>处90.60%之间）给出：</w:t>
      </w:r>
    </w:p>
    <w:p w14:paraId="2F418DC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cross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=0.815%+</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0.90−0.896</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0.906−0.896</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×0.005%≈0.817%</m:t>
              </m:r>
              <m:r>
                <m:rPr>
                  <m:sty m:val="p"/>
                </m:rPr>
                <w:rPr>
                  <w:rFonts w:hint="default" w:ascii="Cambria Math" w:hAnsi="Cambria Math" w:cs="宋体"/>
                  <w:sz w:val="24"/>
                  <w:szCs w:val="24"/>
                  <w:lang w:val="en-US" w:eastAsia="zh-CN"/>
                </w:rPr>
                <m:t>#(12)</m:t>
              </m:r>
              <m:ctrlPr>
                <w:rPr>
                  <w:rFonts w:hint="default" w:hAnsi="Cambria Math" w:cs="宋体"/>
                  <w:i w:val="0"/>
                  <w:sz w:val="24"/>
                  <w:szCs w:val="24"/>
                  <w:lang w:val="en-US" w:eastAsia="zh-CN"/>
                </w:rPr>
              </m:ctrlPr>
            </m:e>
          </m:eqArr>
        </m:oMath>
      </m:oMathPara>
    </w:p>
    <w:p w14:paraId="05D62C5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因此，最小体积分数的点估计为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≈0.817%</m:t>
        </m:r>
      </m:oMath>
      <w:r>
        <w:rPr>
          <w:rFonts w:hint="eastAsia" w:ascii="宋体" w:hAnsi="宋体" w:eastAsia="宋体" w:cs="宋体"/>
          <w:sz w:val="24"/>
          <w:szCs w:val="24"/>
        </w:rPr>
        <w:t>。考虑到抽样误差和保守性原则，最终取：</w:t>
      </w:r>
    </w:p>
    <w:p w14:paraId="7F2D458F">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borderBox>
                <m:borderBoxPr>
                  <m:ctrlPr>
                    <w:rPr>
                      <w:rFonts w:hint="eastAsia" w:ascii="Cambria Math" w:hAnsi="Cambria Math" w:eastAsia="宋体" w:cs="宋体"/>
                      <w:sz w:val="24"/>
                      <w:szCs w:val="24"/>
                    </w:rPr>
                  </m:ctrlPr>
                </m:borderBox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ctrlPr>
                    <w:rPr>
                      <w:rFonts w:hint="eastAsia" w:ascii="Cambria Math" w:hAnsi="Cambria Math" w:eastAsia="宋体" w:cs="宋体"/>
                      <w:sz w:val="24"/>
                      <w:szCs w:val="24"/>
                    </w:rPr>
                  </m:ctrlPr>
                </m:e>
              </m:borderBox>
              <m:r>
                <m:rPr>
                  <m:sty m:val="p"/>
                </m:rPr>
                <w:rPr>
                  <w:rFonts w:hint="default" w:ascii="Cambria Math" w:hAnsi="Cambria Math" w:cs="宋体"/>
                  <w:sz w:val="24"/>
                  <w:szCs w:val="24"/>
                  <w:lang w:val="en-US" w:eastAsia="zh-CN"/>
                </w:rPr>
                <m:t>#(13)</m:t>
              </m:r>
              <m:ctrlPr>
                <w:rPr>
                  <w:rFonts w:hint="default" w:hAnsi="Cambria Math" w:cs="宋体"/>
                  <w:i w:val="0"/>
                  <w:sz w:val="24"/>
                  <w:szCs w:val="24"/>
                  <w:lang w:val="en-US" w:eastAsia="zh-CN"/>
                </w:rPr>
              </m:ctrlPr>
            </m:e>
          </m:eqArr>
        </m:oMath>
      </m:oMathPara>
    </w:p>
    <w:p w14:paraId="3407F45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对应金属A柱体数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=580</m:t>
        </m:r>
      </m:oMath>
      <w:r>
        <w:rPr>
          <w:rFonts w:hint="eastAsia" w:ascii="宋体" w:hAnsi="宋体" w:eastAsia="宋体" w:cs="宋体"/>
          <w:sz w:val="24"/>
          <w:szCs w:val="24"/>
        </w:rPr>
        <w:t>根，需精确添加580根长5000 nm、半径30 nm的直圆柱体。</w:t>
      </w:r>
    </w:p>
    <w:p w14:paraId="712CA314">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.3 标度理论解析外推——一种零MC成本的替代路径</w:t>
      </w:r>
    </w:p>
    <w:p w14:paraId="357E240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在讨论MC-GCPM二分搜索结果之前，有必要指出：Q2建立的标度理论框架本身已提供了一条求解</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Sub>
      </m:oMath>
      <w:r>
        <w:rPr>
          <w:rFonts w:hint="eastAsia" w:ascii="宋体" w:hAnsi="宋体" w:eastAsia="宋体" w:cs="宋体"/>
          <w:sz w:val="24"/>
          <w:szCs w:val="24"/>
        </w:rPr>
        <w:t>的解析路径，且无需额外MC计算。</w:t>
      </w:r>
    </w:p>
    <w:p w14:paraId="65F35D4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Q2的标度分析给出了逾渗阈值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w:t>
      </w:r>
      <m:oMath>
        <m:r>
          <m:rPr/>
          <w:rPr>
            <w:rFonts w:hint="eastAsia" w:ascii="Cambria Math" w:hAnsi="Cambria Math" w:eastAsia="宋体" w:cs="宋体"/>
            <w:sz w:val="24"/>
            <w:szCs w:val="24"/>
          </w:rPr>
          <m:t>P=50%</m:t>
        </m:r>
      </m:oMath>
      <w:r>
        <w:rPr>
          <w:rFonts w:hint="eastAsia" w:ascii="宋体" w:hAnsi="宋体" w:eastAsia="宋体" w:cs="宋体"/>
          <w:sz w:val="24"/>
          <w:szCs w:val="24"/>
        </w:rPr>
        <w:t>）。标度宽度</w:t>
      </w:r>
      <m:oMath>
        <m:r>
          <m:rPr/>
          <w:rPr>
            <w:rFonts w:hint="eastAsia" w:ascii="Cambria Math" w:hAnsi="Cambria Math" w:eastAsia="宋体" w:cs="宋体"/>
            <w:sz w:val="24"/>
            <w:szCs w:val="24"/>
          </w:rPr>
          <m:t>σ</m:t>
        </m:r>
      </m:oMath>
      <w:r>
        <w:rPr>
          <w:rFonts w:hint="eastAsia" w:ascii="宋体" w:hAnsi="宋体" w:eastAsia="宋体" w:cs="宋体"/>
          <w:sz w:val="24"/>
          <w:szCs w:val="24"/>
        </w:rPr>
        <w:t>可从Q2的MC数据直接标定：取逾渗转变区间的两点</w:t>
      </w:r>
      <m:oMath>
        <m:r>
          <m:rPr/>
          <w:rPr>
            <w:rFonts w:hint="eastAsia" w:ascii="Cambria Math" w:hAnsi="Cambria Math" w:eastAsia="宋体" w:cs="宋体"/>
            <w:sz w:val="24"/>
            <w:szCs w:val="24"/>
          </w:rPr>
          <m:t>(ϕ=0.60%,P=31.8%)</m:t>
        </m:r>
      </m:oMath>
      <w:r>
        <w:rPr>
          <w:rFonts w:hint="eastAsia" w:ascii="宋体" w:hAnsi="宋体" w:eastAsia="宋体" w:cs="宋体"/>
          <w:sz w:val="24"/>
          <w:szCs w:val="24"/>
        </w:rPr>
        <w:t>和</w:t>
      </w:r>
      <m:oMath>
        <m:r>
          <m:rPr/>
          <w:rPr>
            <w:rFonts w:hint="eastAsia" w:ascii="Cambria Math" w:hAnsi="Cambria Math" w:eastAsia="宋体" w:cs="宋体"/>
            <w:sz w:val="24"/>
            <w:szCs w:val="24"/>
          </w:rPr>
          <m:t>(ϕ=0.70%,P=63.6%)</m:t>
        </m:r>
      </m:oMath>
      <w:r>
        <w:rPr>
          <w:rFonts w:hint="eastAsia" w:ascii="宋体" w:hAnsi="宋体" w:eastAsia="宋体" w:cs="宋体"/>
          <w:sz w:val="24"/>
          <w:szCs w:val="24"/>
        </w:rPr>
        <w:t>，记</w:t>
      </w:r>
      <m:oMath>
        <m:r>
          <m:rPr/>
          <w:rPr>
            <w:rFonts w:hint="eastAsia" w:ascii="Cambria Math" w:hAnsi="Cambria Math" w:eastAsia="宋体" w:cs="宋体"/>
            <w:sz w:val="24"/>
            <w:szCs w:val="24"/>
          </w:rPr>
          <m:t>Φ</m:t>
        </m:r>
      </m:oMath>
      <w:r>
        <w:rPr>
          <w:rFonts w:hint="eastAsia" w:ascii="宋体" w:hAnsi="宋体" w:eastAsia="宋体" w:cs="宋体"/>
          <w:sz w:val="24"/>
          <w:szCs w:val="24"/>
        </w:rPr>
        <w:t>为标准正态CDF（三维逾渗标度函数的常用近似[1]），则：</w:t>
      </w:r>
    </w:p>
    <w:p w14:paraId="6C3841FC">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0.318</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(0.318)≈−0.473,</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0.636</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(0.636)≈0.348</m:t>
              </m:r>
              <m:r>
                <m:rPr>
                  <m:sty m:val="p"/>
                </m:rPr>
                <w:rPr>
                  <w:rFonts w:hint="default" w:ascii="Cambria Math" w:hAnsi="Cambria Math" w:cs="宋体"/>
                  <w:sz w:val="24"/>
                  <w:szCs w:val="24"/>
                  <w:lang w:val="en-US" w:eastAsia="zh-CN"/>
                </w:rPr>
                <m:t>#(14)</m:t>
              </m:r>
              <m:ctrlPr>
                <w:rPr>
                  <w:rFonts w:hint="default" w:hAnsi="Cambria Math" w:cs="宋体"/>
                  <w:i w:val="0"/>
                  <w:sz w:val="24"/>
                  <w:szCs w:val="24"/>
                  <w:lang w:val="en-US" w:eastAsia="zh-CN"/>
                </w:rPr>
              </m:ctrlPr>
            </m:e>
          </m:eqArr>
        </m:oMath>
      </m:oMathPara>
    </w:p>
    <w:p w14:paraId="40130655">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σ=</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0.70%−0.60%</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0.348−(−0.473)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0.10%</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0.821</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≈0.122%</m:t>
              </m:r>
              <m:r>
                <m:rPr>
                  <m:sty m:val="p"/>
                </m:rPr>
                <w:rPr>
                  <w:rFonts w:hint="default" w:ascii="Cambria Math" w:hAnsi="Cambria Math" w:cs="宋体"/>
                  <w:sz w:val="24"/>
                  <w:szCs w:val="24"/>
                  <w:lang w:val="en-US" w:eastAsia="zh-CN"/>
                </w:rPr>
                <m:t>#(15)</m:t>
              </m:r>
              <m:ctrlPr>
                <w:rPr>
                  <w:rFonts w:hint="default" w:hAnsi="Cambria Math" w:cs="宋体"/>
                  <w:i w:val="0"/>
                  <w:sz w:val="24"/>
                  <w:szCs w:val="24"/>
                  <w:lang w:val="en-US" w:eastAsia="zh-CN"/>
                </w:rPr>
              </m:ctrlPr>
            </m:e>
          </m:eqArr>
        </m:oMath>
      </m:oMathPara>
    </w:p>
    <w:p w14:paraId="461030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target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(0.90)≈1.282</m:t>
        </m:r>
      </m:oMath>
      <w:r>
        <w:rPr>
          <w:rFonts w:hint="eastAsia" w:ascii="宋体" w:hAnsi="宋体" w:eastAsia="宋体" w:cs="宋体"/>
          <w:sz w:val="24"/>
          <w:szCs w:val="24"/>
        </w:rPr>
        <w:t>，标度理论预测：</w:t>
      </w:r>
    </w:p>
    <w:p w14:paraId="7AB6F26C">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scaling</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(0.90)·σ=0.66%+1.282×0.122%≈0.816%</m:t>
              </m:r>
              <m:r>
                <m:rPr>
                  <m:sty m:val="p"/>
                </m:rPr>
                <w:rPr>
                  <w:rFonts w:hint="default" w:ascii="Cambria Math" w:hAnsi="Cambria Math" w:cs="宋体"/>
                  <w:sz w:val="24"/>
                  <w:szCs w:val="24"/>
                  <w:lang w:val="en-US" w:eastAsia="zh-CN"/>
                </w:rPr>
                <m:t>#(16)</m:t>
              </m:r>
              <m:ctrlPr>
                <w:rPr>
                  <w:rFonts w:hint="default" w:hAnsi="Cambria Math" w:cs="宋体"/>
                  <w:i w:val="0"/>
                  <w:sz w:val="24"/>
                  <w:szCs w:val="24"/>
                  <w:lang w:val="en-US" w:eastAsia="zh-CN"/>
                </w:rPr>
              </m:ctrlPr>
            </m:e>
          </m:eqArr>
        </m:oMath>
      </m:oMathPara>
    </w:p>
    <w:p w14:paraId="7BDC32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该解析估计与MC-GCPM精验证结果</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相差仅</w:t>
      </w:r>
      <m:oMath>
        <m:r>
          <m:rPr/>
          <w:rPr>
            <w:rFonts w:hint="eastAsia" w:ascii="Cambria Math" w:hAnsi="Cambria Math" w:eastAsia="宋体" w:cs="宋体"/>
            <w:sz w:val="24"/>
            <w:szCs w:val="24"/>
          </w:rPr>
          <m:t>0.004</m:t>
        </m:r>
      </m:oMath>
      <w:r>
        <w:rPr>
          <w:rFonts w:hint="eastAsia" w:ascii="宋体" w:hAnsi="宋体" w:eastAsia="宋体" w:cs="宋体"/>
          <w:sz w:val="24"/>
          <w:szCs w:val="24"/>
        </w:rPr>
        <w:t>个百分点（相对偏差</w:t>
      </w:r>
      <m:oMath>
        <m:r>
          <m:rPr/>
          <w:rPr>
            <w:rFonts w:hint="eastAsia" w:ascii="Cambria Math" w:hAnsi="Cambria Math" w:eastAsia="宋体" w:cs="宋体"/>
            <w:sz w:val="24"/>
            <w:szCs w:val="24"/>
          </w:rPr>
          <m:t>0.5%</m:t>
        </m:r>
      </m:oMath>
      <w:r>
        <w:rPr>
          <w:rFonts w:hint="eastAsia" w:ascii="宋体" w:hAnsi="宋体" w:eastAsia="宋体" w:cs="宋体"/>
          <w:sz w:val="24"/>
          <w:szCs w:val="24"/>
        </w:rPr>
        <w:t>）——在500次试验的标准误差（</w:t>
      </w:r>
      <m:oMath>
        <m:r>
          <m:rPr/>
          <w:rPr>
            <w:rFonts w:hint="eastAsia" w:ascii="Cambria Math" w:hAnsi="Cambria Math" w:eastAsia="宋体" w:cs="宋体"/>
            <w:sz w:val="24"/>
            <w:szCs w:val="24"/>
          </w:rPr>
          <m:t>1.34%</m:t>
        </m:r>
      </m:oMath>
      <w:r>
        <w:rPr>
          <w:rFonts w:hint="eastAsia" w:ascii="宋体" w:hAnsi="宋体" w:eastAsia="宋体" w:cs="宋体"/>
          <w:sz w:val="24"/>
          <w:szCs w:val="24"/>
        </w:rPr>
        <w:t>）之内。理论与数值实验从完全独立的路径收敛至同一答案，相互提供了强有力的交叉验证。</w:t>
      </w:r>
    </w:p>
    <w:p w14:paraId="79F7841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更重要的是，这展示了标度理论方法相对于二分搜索的两个关键优势。第一，计算效率：二分搜索需8-10个MC点（约4200次试验，25分钟），而标度理论外推为零MC成本——所需参数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,σ)</m:t>
        </m:r>
      </m:oMath>
      <w:r>
        <w:rPr>
          <w:rFonts w:hint="eastAsia" w:ascii="宋体" w:hAnsi="宋体" w:eastAsia="宋体" w:cs="宋体"/>
          <w:sz w:val="24"/>
          <w:szCs w:val="24"/>
        </w:rPr>
        <w:t>均从Q2的4个数据点获得，仅需两次正态分位数查表。第二，物理可解释性：标度理论明确揭示了</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Sub>
      </m:oMath>
      <w:r>
        <w:rPr>
          <w:rFonts w:hint="eastAsia" w:ascii="宋体" w:hAnsi="宋体" w:eastAsia="宋体" w:cs="宋体"/>
          <w:sz w:val="24"/>
          <w:szCs w:val="24"/>
        </w:rPr>
        <w:t>的物理构成——逾渗阈值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加上由关联长度指数</w:t>
      </w:r>
      <m:oMath>
        <m:r>
          <m:rPr/>
          <w:rPr>
            <w:rFonts w:hint="eastAsia" w:ascii="Cambria Math" w:hAnsi="Cambria Math" w:eastAsia="宋体" w:cs="宋体"/>
            <w:sz w:val="24"/>
            <w:szCs w:val="24"/>
          </w:rPr>
          <m:t>ν≈0.88</m:t>
        </m:r>
      </m:oMath>
      <w:r>
        <w:rPr>
          <w:rFonts w:hint="eastAsia" w:ascii="宋体" w:hAnsi="宋体" w:eastAsia="宋体" w:cs="宋体"/>
          <w:sz w:val="24"/>
          <w:szCs w:val="24"/>
        </w:rPr>
        <w:t>决定的标度偏移量</w:t>
      </w:r>
      <m:oMath>
        <m:r>
          <m:rPr/>
          <w:rPr>
            <w:rFonts w:hint="eastAsia" w:ascii="Cambria Math" w:hAnsi="Cambria Math" w:eastAsia="宋体" w:cs="宋体"/>
            <w:sz w:val="24"/>
            <w:szCs w:val="24"/>
          </w:rPr>
          <m:t>1.282σ≈0.156%</m:t>
        </m:r>
      </m:oMath>
      <w:r>
        <w:rPr>
          <w:rFonts w:hint="eastAsia" w:ascii="宋体" w:hAnsi="宋体" w:eastAsia="宋体" w:cs="宋体"/>
          <w:sz w:val="24"/>
          <w:szCs w:val="24"/>
        </w:rPr>
        <w:t>。二分搜索仅输出一个数值，而标度理论解释了该数值为何是</w:t>
      </w:r>
      <m:oMath>
        <m:r>
          <m:rPr/>
          <w:rPr>
            <w:rFonts w:hint="eastAsia" w:ascii="Cambria Math" w:hAnsi="Cambria Math" w:eastAsia="宋体" w:cs="宋体"/>
            <w:sz w:val="24"/>
            <w:szCs w:val="24"/>
          </w:rPr>
          <m:t>0.82%</m:t>
        </m:r>
      </m:oMath>
      <w:r>
        <w:rPr>
          <w:rFonts w:hint="eastAsia" w:ascii="宋体" w:hAnsi="宋体" w:eastAsia="宋体" w:cs="宋体"/>
          <w:sz w:val="24"/>
          <w:szCs w:val="24"/>
        </w:rPr>
        <w:t>而非</w:t>
      </w:r>
      <m:oMath>
        <m:r>
          <m:rPr/>
          <w:rPr>
            <w:rFonts w:hint="eastAsia" w:ascii="Cambria Math" w:hAnsi="Cambria Math" w:eastAsia="宋体" w:cs="宋体"/>
            <w:sz w:val="24"/>
            <w:szCs w:val="24"/>
          </w:rPr>
          <m:t>0.66%</m:t>
        </m:r>
      </m:oMath>
      <w:r>
        <w:rPr>
          <w:rFonts w:hint="eastAsia" w:ascii="宋体" w:hAnsi="宋体" w:eastAsia="宋体" w:cs="宋体"/>
          <w:sz w:val="24"/>
          <w:szCs w:val="24"/>
        </w:rPr>
        <w:t>或</w:t>
      </w:r>
      <m:oMath>
        <m:r>
          <m:rPr/>
          <w:rPr>
            <w:rFonts w:hint="eastAsia" w:ascii="Cambria Math" w:hAnsi="Cambria Math" w:eastAsia="宋体" w:cs="宋体"/>
            <w:sz w:val="24"/>
            <w:szCs w:val="24"/>
          </w:rPr>
          <m:t>1.00%</m:t>
        </m:r>
      </m:oMath>
      <w:r>
        <w:rPr>
          <w:rFonts w:hint="eastAsia" w:ascii="宋体" w:hAnsi="宋体" w:eastAsia="宋体" w:cs="宋体"/>
          <w:sz w:val="24"/>
          <w:szCs w:val="24"/>
        </w:rPr>
        <w:t>——即逾渗转变的普适宽度决定了从</w:t>
      </w:r>
      <m:oMath>
        <m:r>
          <m:rPr/>
          <w:rPr>
            <w:rFonts w:hint="eastAsia" w:ascii="Cambria Math" w:hAnsi="Cambria Math" w:eastAsia="宋体" w:cs="宋体"/>
            <w:sz w:val="24"/>
            <w:szCs w:val="24"/>
          </w:rPr>
          <m:t>50%</m:t>
        </m:r>
      </m:oMath>
      <w:r>
        <w:rPr>
          <w:rFonts w:hint="eastAsia" w:ascii="宋体" w:hAnsi="宋体" w:eastAsia="宋体" w:cs="宋体"/>
          <w:sz w:val="24"/>
          <w:szCs w:val="24"/>
        </w:rPr>
        <w:t>概率到</w:t>
      </w:r>
      <m:oMath>
        <m:r>
          <m:rPr/>
          <w:rPr>
            <w:rFonts w:hint="eastAsia" w:ascii="Cambria Math" w:hAnsi="Cambria Math" w:eastAsia="宋体" w:cs="宋体"/>
            <w:sz w:val="24"/>
            <w:szCs w:val="24"/>
          </w:rPr>
          <m:t>90%</m:t>
        </m:r>
      </m:oMath>
      <w:r>
        <w:rPr>
          <w:rFonts w:hint="eastAsia" w:ascii="宋体" w:hAnsi="宋体" w:eastAsia="宋体" w:cs="宋体"/>
          <w:sz w:val="24"/>
          <w:szCs w:val="24"/>
        </w:rPr>
        <w:t>概率所需的密度增量。</w:t>
      </w:r>
    </w:p>
    <w:p w14:paraId="2465DBF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标度理论预测值（</w:t>
      </w:r>
      <m:oMath>
        <m:r>
          <m:rPr/>
          <w:rPr>
            <w:rFonts w:hint="eastAsia" w:ascii="Cambria Math" w:hAnsi="Cambria Math" w:eastAsia="宋体" w:cs="宋体"/>
            <w:sz w:val="24"/>
            <w:szCs w:val="24"/>
          </w:rPr>
          <m:t>0.816%</m:t>
        </m:r>
      </m:oMath>
      <w:r>
        <w:rPr>
          <w:rFonts w:hint="eastAsia" w:ascii="宋体" w:hAnsi="宋体" w:eastAsia="宋体" w:cs="宋体"/>
          <w:sz w:val="24"/>
          <w:szCs w:val="24"/>
        </w:rPr>
        <w:t>）略低于MC值（</w:t>
      </w:r>
      <m:oMath>
        <m:r>
          <m:rPr/>
          <w:rPr>
            <w:rFonts w:hint="eastAsia" w:ascii="Cambria Math" w:hAnsi="Cambria Math" w:eastAsia="宋体" w:cs="宋体"/>
            <w:sz w:val="24"/>
            <w:szCs w:val="24"/>
          </w:rPr>
          <m:t>0.82%</m:t>
        </m:r>
      </m:oMath>
      <w:r>
        <w:rPr>
          <w:rFonts w:hint="eastAsia" w:ascii="宋体" w:hAnsi="宋体" w:eastAsia="宋体" w:cs="宋体"/>
          <w:sz w:val="24"/>
          <w:szCs w:val="24"/>
        </w:rPr>
        <w:t>）的微小偏差可由以下因素理解：（i）有限尺寸效应使</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nm系统的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略高于热力学极限值；（ii）正态CDF是三维逾渗标度函数的常用近似但非精确形式[1]；（iii）隧穿逾渗[4]的标度函数尾部与经典点逾渗存在微小差异。这些因素的总效应</w:t>
      </w:r>
      <m:oMath>
        <m:r>
          <m:rPr/>
          <w:rPr>
            <w:rFonts w:hint="eastAsia" w:ascii="Cambria Math" w:hAnsi="Cambria Math" w:eastAsia="宋体" w:cs="宋体"/>
            <w:sz w:val="24"/>
            <w:szCs w:val="24"/>
          </w:rPr>
          <m:t>~0.004</m:t>
        </m:r>
      </m:oMath>
      <w:r>
        <w:rPr>
          <w:rFonts w:hint="eastAsia" w:ascii="宋体" w:hAnsi="宋体" w:eastAsia="宋体" w:cs="宋体"/>
          <w:sz w:val="24"/>
          <w:szCs w:val="24"/>
        </w:rPr>
        <w:t>个百分点，远小于MC的统计误差。</w:t>
      </w:r>
    </w:p>
    <w:p w14:paraId="3457331C">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w:t>
      </w:r>
      <w:r>
        <w:rPr>
          <w:rFonts w:hint="eastAsia" w:ascii="宋体" w:hAnsi="宋体" w:eastAsia="宋体" w:cs="宋体"/>
          <w:b/>
          <w:sz w:val="24"/>
          <w:szCs w:val="24"/>
        </w:rPr>
        <w:t xml:space="preserve"> 问题四：双介质成本优化</w:t>
      </w:r>
    </w:p>
    <w:p w14:paraId="626A195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问题三确定纯A在0.82%处达到P=90.6%，成本8.61元。问题四引入金属B球体——成本仅为A的1/21，但逾渗效率远低于高长径比柱体。核心问题：B能否部分替代A以降低成本？</w:t>
      </w:r>
    </w:p>
    <w:p w14:paraId="5E6CFA0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9.1</w:t>
      </w:r>
      <w:r>
        <w:rPr>
          <w:rFonts w:hint="eastAsia" w:ascii="宋体" w:hAnsi="宋体" w:eastAsia="宋体" w:cs="宋体"/>
          <w:b/>
          <w:sz w:val="24"/>
          <w:szCs w:val="24"/>
        </w:rPr>
        <w:t xml:space="preserve"> 模型扩展：金属B球体的引入</w:t>
      </w:r>
    </w:p>
    <w:p w14:paraId="07D1C3B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在GCPM几何模块中增加三种新的距离计算（沿用问题一至三的全部假设）：</w:t>
      </w:r>
    </w:p>
    <w:p w14:paraId="73BC43B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球体-球体表面距离：两球体</w:t>
      </w:r>
      <m:oMath>
        <m:r>
          <m:rPr/>
          <w:rPr>
            <w:rFonts w:hint="eastAsia" w:ascii="Cambria Math" w:hAnsi="Cambria Math" w:eastAsia="宋体" w:cs="宋体"/>
            <w:sz w:val="24"/>
            <w:szCs w:val="24"/>
          </w:rPr>
          <m:t>i,j</m:t>
        </m:r>
      </m:oMath>
      <w:r>
        <w:rPr>
          <w:rFonts w:hint="eastAsia" w:ascii="宋体" w:hAnsi="宋体" w:eastAsia="宋体" w:cs="宋体"/>
          <w:sz w:val="24"/>
          <w:szCs w:val="24"/>
        </w:rPr>
        <w:t>中心分别为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oMath>
      <w:r>
        <w:rPr>
          <w:rFonts w:hint="eastAsia" w:ascii="宋体" w:hAnsi="宋体" w:eastAsia="宋体" w:cs="宋体"/>
          <w:sz w:val="24"/>
          <w:szCs w:val="24"/>
        </w:rPr>
        <w:t>，表面距离</w:t>
      </w:r>
    </w:p>
    <w:p w14:paraId="2E14B1CD">
      <w:pPr>
        <w:spacing w:line="240" w:lineRule="auto"/>
        <w:ind w:firstLine="420"/>
        <w:jc w:val="both"/>
        <w:rPr>
          <w:rFonts w:hint="default" w:hAnsi="Cambria Math" w:cs="宋体"/>
          <w:i w:val="0"/>
          <w:sz w:val="24"/>
          <w:szCs w:val="24"/>
          <w:lang w:val="en-US" w:eastAsia="zh-CN"/>
        </w:rPr>
      </w:pPr>
      <m:oMathPara>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BB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#(17)</m:t>
              </m:r>
              <m:ctrlPr>
                <w:rPr>
                  <w:rFonts w:hint="default" w:hAnsi="Cambria Math" w:cs="宋体"/>
                  <w:i w:val="0"/>
                  <w:sz w:val="24"/>
                  <w:szCs w:val="24"/>
                  <w:lang w:val="en-US" w:eastAsia="zh-CN"/>
                </w:rPr>
              </m:ctrlPr>
            </m:e>
          </m:eqArr>
        </m:oMath>
      </m:oMathPara>
    </w:p>
    <w:p w14:paraId="4402880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若</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BB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=1.8</m:t>
        </m:r>
      </m:oMath>
      <w:r>
        <w:rPr>
          <w:rFonts w:hint="eastAsia" w:ascii="宋体" w:hAnsi="宋体" w:eastAsia="宋体" w:cs="宋体"/>
          <w:sz w:val="24"/>
          <w:szCs w:val="24"/>
        </w:rPr>
        <w:t xml:space="preserve"> nm，两球体连通。</w:t>
      </w:r>
    </w:p>
    <w:p w14:paraId="33DDBA1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球体-柱体表面距离：球体中心</w:t>
      </w:r>
      <m:oMath>
        <m:r>
          <m:rPr/>
          <w:rPr>
            <w:rFonts w:hint="eastAsia" w:ascii="Cambria Math" w:hAnsi="Cambria Math" w:eastAsia="宋体" w:cs="宋体"/>
            <w:sz w:val="24"/>
            <w:szCs w:val="24"/>
          </w:rPr>
          <m:t>C</m:t>
        </m:r>
      </m:oMath>
      <w:r>
        <w:rPr>
          <w:rFonts w:hint="eastAsia" w:ascii="宋体" w:hAnsi="宋体" w:eastAsia="宋体" w:cs="宋体"/>
          <w:sz w:val="24"/>
          <w:szCs w:val="24"/>
        </w:rPr>
        <w:t>到柱体轴线（线段</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oMath>
      <w:r>
        <w:rPr>
          <w:rFonts w:hint="eastAsia" w:ascii="宋体" w:hAnsi="宋体" w:eastAsia="宋体" w:cs="宋体"/>
          <w:sz w:val="24"/>
          <w:szCs w:val="24"/>
        </w:rPr>
        <w:t>）的最短距离减去半径之和</w:t>
      </w:r>
      <w:r>
        <w:rPr>
          <w:rFonts w:hint="eastAsia" w:ascii="宋体" w:hAnsi="宋体" w:eastAsia="宋体" w:cs="宋体"/>
          <w:sz w:val="24"/>
          <w:szCs w:val="24"/>
        </w:rPr>
        <w:br w:type="textWrapping"/>
      </w:r>
      <m:oMathPara>
        <m:oMath>
          <m:eqArr>
            <m:eqArrPr>
              <m:maxDist m:val="1"/>
              <m:ctrlPr>
                <w:rPr>
                  <w:rFonts w:hint="eastAsia" w:ascii="宋体" w:hAnsi="宋体" w:eastAsia="宋体" w:cs="宋体"/>
                  <w:sz w:val="24"/>
                  <w:szCs w:val="24"/>
                </w:rPr>
              </m:ctrlPr>
            </m:eqArr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AB</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point−to−segment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#(18)</m:t>
              </m:r>
              <m:ctrlPr>
                <w:rPr>
                  <w:rFonts w:hint="eastAsia" w:ascii="宋体" w:hAnsi="宋体" w:eastAsia="宋体" w:cs="宋体"/>
                  <w:sz w:val="24"/>
                  <w:szCs w:val="24"/>
                </w:rPr>
              </m:ctrlPr>
            </m:e>
          </m:eqArr>
        </m:oMath>
      </m:oMathPara>
    </w:p>
    <w:p w14:paraId="05ED7CBF">
      <w:pPr>
        <w:spacing w:line="240" w:lineRule="auto"/>
        <w:ind w:firstLine="420"/>
        <w:jc w:val="left"/>
        <w:rPr>
          <w:rFonts w:hint="default" w:hAnsi="Cambria Math" w:cs="宋体"/>
          <w:i w:val="0"/>
          <w:sz w:val="24"/>
          <w:szCs w:val="24"/>
          <w:lang w:val="en-US" w:eastAsia="zh-CN"/>
        </w:rPr>
      </w:pPr>
      <w:r>
        <w:rPr>
          <w:rFonts w:hint="eastAsia" w:ascii="宋体" w:hAnsi="宋体" w:eastAsia="宋体" w:cs="宋体"/>
          <w:sz w:val="24"/>
          <w:szCs w:val="24"/>
        </w:rPr>
        <w:t>球体-电极距离：</w:t>
      </w:r>
      <w:r>
        <w:rPr>
          <w:rFonts w:hint="eastAsia" w:ascii="宋体" w:hAnsi="宋体" w:eastAsia="宋体" w:cs="宋体"/>
          <w:sz w:val="24"/>
          <w:szCs w:val="24"/>
        </w:rPr>
        <w:br w:type="textWrapping"/>
      </w:r>
      <m:oMathPara>
        <m:oMath>
          <m:eqArr>
            <m:eqArrPr>
              <m:maxDist m:val="1"/>
              <m:ctrlPr>
                <w:rPr>
                  <w:rFonts w:hint="eastAsia" w:ascii="宋体" w:hAnsi="宋体" w:eastAsia="宋体" w:cs="宋体"/>
                  <w:sz w:val="24"/>
                  <w:szCs w:val="24"/>
                </w:rPr>
              </m:ctrlPr>
            </m:eqArr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B−elec</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elec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#(19)</m:t>
              </m:r>
              <m:ctrlPr>
                <w:rPr>
                  <w:rFonts w:hint="eastAsia" w:ascii="宋体" w:hAnsi="宋体" w:eastAsia="宋体" w:cs="宋体"/>
                  <w:sz w:val="24"/>
                  <w:szCs w:val="24"/>
                </w:rPr>
              </m:ctrlPr>
            </m:e>
          </m:eqArr>
        </m:oMath>
      </m:oMathPara>
    </w:p>
    <w:p w14:paraId="38C9B63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w:t>
      </w:r>
    </w:p>
    <w:p w14:paraId="781101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KD-Tree索引覆盖全部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个对象。并查集同时管理柱体间、柱体-球体间、球体间的三类连通关系。</w:t>
      </w:r>
    </w:p>
    <w:p w14:paraId="55F36F1F">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9.2</w:t>
      </w:r>
      <w:r>
        <w:rPr>
          <w:rFonts w:hint="eastAsia" w:ascii="宋体" w:hAnsi="宋体" w:eastAsia="宋体" w:cs="宋体"/>
          <w:b/>
          <w:sz w:val="24"/>
          <w:szCs w:val="24"/>
        </w:rPr>
        <w:t xml:space="preserve"> 模型的建立与求解</w:t>
      </w:r>
    </w:p>
    <w:p w14:paraId="666FC673">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.1</w:t>
      </w:r>
      <w:r>
        <w:rPr>
          <w:rFonts w:hint="eastAsia" w:ascii="宋体" w:hAnsi="宋体" w:eastAsia="宋体" w:cs="宋体"/>
          <w:b/>
          <w:i w:val="0"/>
          <w:iCs w:val="0"/>
          <w:color w:val="auto"/>
          <w:sz w:val="24"/>
          <w:szCs w:val="24"/>
          <w:lang w:val="en-US" w:eastAsia="zh-CN"/>
        </w:rPr>
        <w:t>.1</w:t>
      </w:r>
      <w:r>
        <w:rPr>
          <w:rFonts w:hint="eastAsia" w:ascii="宋体" w:hAnsi="宋体" w:eastAsia="宋体" w:cs="宋体"/>
          <w:b/>
          <w:i w:val="0"/>
          <w:iCs w:val="0"/>
          <w:color w:val="auto"/>
          <w:sz w:val="24"/>
          <w:szCs w:val="24"/>
        </w:rPr>
        <w:t xml:space="preserve"> 优化模型</w:t>
      </w:r>
    </w:p>
    <w:p w14:paraId="2169A97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)=(1.05·</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+0.05·</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m:t>
              </m:r>
              <m:r>
                <m:rPr>
                  <m:sty m:val="p"/>
                </m:rPr>
                <w:rPr>
                  <w:rFonts w:hint="default" w:ascii="Cambria Math" w:hAnsi="Cambria Math" w:cs="宋体"/>
                  <w:sz w:val="24"/>
                  <w:szCs w:val="24"/>
                  <w:lang w:val="en-US" w:eastAsia="zh-CN"/>
                </w:rPr>
                <m:t>#(20)</m:t>
              </m:r>
              <m:ctrlPr>
                <w:rPr>
                  <w:rFonts w:hint="default" w:hAnsi="Cambria Math" w:cs="宋体"/>
                  <w:i w:val="0"/>
                  <w:sz w:val="24"/>
                  <w:szCs w:val="24"/>
                  <w:lang w:val="en-US" w:eastAsia="zh-CN"/>
                </w:rPr>
              </m:ctrlPr>
            </m:e>
          </m:eqArr>
        </m:oMath>
      </m:oMathPara>
    </w:p>
    <w:p w14:paraId="337FFC3F">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m:sty m:val="p"/>
                </m:rPr>
                <w:rPr>
                  <w:rFonts w:hint="eastAsia" w:ascii="Cambria Math" w:hAnsi="Cambria Math" w:eastAsia="宋体" w:cs="宋体"/>
                  <w:sz w:val="24"/>
                  <w:szCs w:val="24"/>
                </w:rPr>
                <m:t xml:space="preserve">s.t. </m:t>
              </m:r>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r>
                <m:rPr>
                  <m:sty m:val="p"/>
                </m:rPr>
                <w:rPr>
                  <w:rFonts w:hint="default" w:ascii="Cambria Math" w:hAnsi="Cambria Math" w:cs="宋体"/>
                  <w:sz w:val="24"/>
                  <w:szCs w:val="24"/>
                  <w:lang w:val="en-US" w:eastAsia="zh-CN"/>
                </w:rPr>
                <m:t>#(21)</m:t>
              </m:r>
              <m:ctrlPr>
                <w:rPr>
                  <w:rFonts w:hint="default" w:hAnsi="Cambria Math" w:cs="宋体"/>
                  <w:i w:val="0"/>
                  <w:sz w:val="24"/>
                  <w:szCs w:val="24"/>
                  <w:lang w:val="en-US" w:eastAsia="zh-CN"/>
                </w:rPr>
              </m:ctrlPr>
            </m:e>
          </m:eqArr>
        </m:oMath>
      </m:oMathPara>
    </w:p>
    <w:p w14:paraId="05849D8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由MC-GCPM双介质版本以给定统计精度估计，</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m:t>
        </m:r>
      </m:oMath>
      <w:r>
        <w:rPr>
          <w:rFonts w:hint="eastAsia" w:ascii="宋体" w:hAnsi="宋体" w:eastAsia="宋体" w:cs="宋体"/>
          <w:sz w:val="24"/>
          <w:szCs w:val="24"/>
        </w:rPr>
        <w:t xml:space="preserve"> μm³。纯A基准：</w:t>
      </w:r>
      <m:oMath>
        <m:r>
          <m:rPr/>
          <w:rPr>
            <w:rFonts w:hint="eastAsia" w:ascii="Cambria Math" w:hAnsi="Cambria Math" w:eastAsia="宋体" w:cs="宋体"/>
            <w:sz w:val="24"/>
            <w:szCs w:val="24"/>
          </w:rPr>
          <m:t>C(0.82%,0)=8.61</m:t>
        </m:r>
      </m:oMath>
      <w:r>
        <w:rPr>
          <w:rFonts w:hint="eastAsia" w:ascii="宋体" w:hAnsi="宋体" w:eastAsia="宋体" w:cs="宋体"/>
          <w:sz w:val="24"/>
          <w:szCs w:val="24"/>
        </w:rPr>
        <w:t>元。纯B在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（该处</w:t>
      </w:r>
      <m:oMath>
        <m:r>
          <m:rPr/>
          <w:rPr>
            <w:rFonts w:hint="eastAsia" w:ascii="Cambria Math" w:hAnsi="Cambria Math" w:eastAsia="宋体" w:cs="宋体"/>
            <w:sz w:val="24"/>
            <w:szCs w:val="24"/>
          </w:rPr>
          <m:t>P≈0.5%≪90%</m:t>
        </m:r>
      </m:oMath>
      <w:r>
        <w:rPr>
          <w:rFonts w:hint="eastAsia" w:ascii="宋体" w:hAnsi="宋体" w:eastAsia="宋体" w:cs="宋体"/>
          <w:sz w:val="24"/>
          <w:szCs w:val="24"/>
        </w:rPr>
        <w:t>）已需15.00元，故纯B被先验排除。搜索范围限于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∈[0.3%,0.7%]</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由二分搜索确定。</w:t>
      </w:r>
    </w:p>
    <w:p w14:paraId="7C14D81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9.1.2</w:t>
      </w:r>
      <w:r>
        <w:rPr>
          <w:rFonts w:hint="eastAsia" w:ascii="宋体" w:hAnsi="宋体" w:eastAsia="宋体" w:cs="宋体"/>
          <w:b/>
          <w:i w:val="0"/>
          <w:iCs w:val="0"/>
          <w:color w:val="auto"/>
          <w:sz w:val="24"/>
          <w:szCs w:val="24"/>
        </w:rPr>
        <w:t xml:space="preserve"> 求解算法</w:t>
      </w:r>
    </w:p>
    <w:p w14:paraId="31E5AB1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算法3：双介质成本最优化</w:t>
      </w:r>
    </w:p>
    <w:p w14:paraId="0596CE8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纯B扫描。 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∈{5%,10%,15%,20%,25%,30%}</m:t>
        </m:r>
      </m:oMath>
      <w:r>
        <w:rPr>
          <w:rFonts w:hint="eastAsia" w:ascii="宋体" w:hAnsi="宋体" w:eastAsia="宋体" w:cs="宋体"/>
          <w:sz w:val="24"/>
          <w:szCs w:val="24"/>
        </w:rPr>
        <w:t>各执行200次双介质MC（</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），确认B的单介质逾渗性能。</w:t>
      </w:r>
    </w:p>
    <w:p w14:paraId="75775BA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2 A单独基准。 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∈{0.3%,0.4%,0.5%,0.6%,0.7%}</m:t>
        </m:r>
      </m:oMath>
      <w:r>
        <w:rPr>
          <w:rFonts w:hint="eastAsia" w:ascii="宋体" w:hAnsi="宋体" w:eastAsia="宋体" w:cs="宋体"/>
          <w:sz w:val="24"/>
          <w:szCs w:val="24"/>
        </w:rPr>
        <w:t>各执行300次MC（</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），得A单独在各体积分数下的</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w:t>
      </w:r>
    </w:p>
    <w:p w14:paraId="2A9F441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混合优化。 对每个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，二分搜索</w:t>
      </w:r>
      <m:oMath>
        <m:r>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使得</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。每步200次MC，终止容差0.5%。二分区间初始化为</w:t>
      </w:r>
      <m:oMath>
        <m:r>
          <m:rPr/>
          <w:rPr>
            <w:rFonts w:hint="eastAsia" w:ascii="Cambria Math" w:hAnsi="Cambria Math" w:eastAsia="宋体" w:cs="宋体"/>
            <w:sz w:val="24"/>
            <w:szCs w:val="24"/>
          </w:rPr>
          <m:t>[0,10%]</m:t>
        </m:r>
      </m:oMath>
      <w:r>
        <w:rPr>
          <w:rFonts w:hint="eastAsia" w:ascii="宋体" w:hAnsi="宋体" w:eastAsia="宋体" w:cs="宋体"/>
          <w:sz w:val="24"/>
          <w:szCs w:val="24"/>
        </w:rPr>
        <w:t>。</w:t>
      </w:r>
    </w:p>
    <w:p w14:paraId="6FC1F6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成本比较。 计算所有满足</w:t>
      </w:r>
      <m:oMath>
        <m:r>
          <m:rPr/>
          <w:rPr>
            <w:rFonts w:hint="eastAsia" w:ascii="Cambria Math" w:hAnsi="Cambria Math" w:eastAsia="宋体" w:cs="宋体"/>
            <w:sz w:val="24"/>
            <w:szCs w:val="24"/>
          </w:rPr>
          <m:t>P≥0.90</m:t>
        </m:r>
      </m:oMath>
      <w:r>
        <w:rPr>
          <w:rFonts w:hint="eastAsia" w:ascii="宋体" w:hAnsi="宋体" w:eastAsia="宋体" w:cs="宋体"/>
          <w:sz w:val="24"/>
          <w:szCs w:val="24"/>
        </w:rPr>
        <w:t>的混合方案的成本，与纯A基准比较。</w:t>
      </w:r>
    </w:p>
    <w:p w14:paraId="151B1FB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5 精修。 对最有希望的候选方案以500次MC验证。</w:t>
      </w:r>
    </w:p>
    <w:p w14:paraId="1782B5C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算法3 结束</w:t>
      </w:r>
    </w:p>
    <w:p w14:paraId="232BD3E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 xml:space="preserve">9.3 </w:t>
      </w:r>
      <w:r>
        <w:rPr>
          <w:rFonts w:hint="eastAsia" w:ascii="宋体" w:hAnsi="宋体" w:eastAsia="宋体" w:cs="宋体"/>
          <w:b/>
          <w:sz w:val="24"/>
          <w:szCs w:val="24"/>
        </w:rPr>
        <w:t>结果与分析</w:t>
      </w:r>
    </w:p>
    <w:p w14:paraId="6796265C">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.3.1 纯B逾渗性能</w:t>
      </w:r>
    </w:p>
    <w:p w14:paraId="6B871002">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纯金属B球体逾渗扫描（200次/点）</w:t>
      </w:r>
    </w:p>
    <w:tbl>
      <w:tblPr>
        <w:tblStyle w:val="32"/>
        <w:tblW w:w="0" w:type="auto"/>
        <w:jc w:val="center"/>
        <w:tblLayout w:type="autofit"/>
        <w:tblCellMar>
          <w:top w:w="0" w:type="dxa"/>
          <w:left w:w="108" w:type="dxa"/>
          <w:bottom w:w="0" w:type="dxa"/>
          <w:right w:w="108" w:type="dxa"/>
        </w:tblCellMar>
      </w:tblPr>
      <w:tblGrid>
        <w:gridCol w:w="1836"/>
        <w:gridCol w:w="1836"/>
        <w:gridCol w:w="1836"/>
        <w:gridCol w:w="1836"/>
        <w:gridCol w:w="1836"/>
      </w:tblGrid>
      <w:tr w14:paraId="541FAD15">
        <w:tblPrEx>
          <w:tblCellMar>
            <w:top w:w="0" w:type="dxa"/>
            <w:left w:w="108" w:type="dxa"/>
            <w:bottom w:w="0" w:type="dxa"/>
            <w:right w:w="108" w:type="dxa"/>
          </w:tblCellMar>
        </w:tblPrEx>
        <w:trPr>
          <w:cantSplit/>
          <w:tblHeader/>
          <w:jc w:val="center"/>
        </w:trPr>
        <w:tc>
          <w:tcPr>
            <w:tcW w:w="183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55F26938">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2A35341">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0C60541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ECAB227">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866B72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成本（元）</w:t>
            </w:r>
          </w:p>
        </w:tc>
      </w:tr>
      <w:tr w14:paraId="533BAD8B">
        <w:tblPrEx>
          <w:tblCellMar>
            <w:top w:w="0" w:type="dxa"/>
            <w:left w:w="108" w:type="dxa"/>
            <w:bottom w:w="0" w:type="dxa"/>
            <w:right w:w="108" w:type="dxa"/>
          </w:tblCellMar>
        </w:tblPrEx>
        <w:trPr>
          <w:cantSplit/>
          <w:jc w:val="center"/>
        </w:trPr>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3DBE7F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B37AC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1492</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C65FA5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D58B4A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9CBA3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2.50</w:t>
            </w:r>
          </w:p>
        </w:tc>
      </w:tr>
      <w:tr w14:paraId="68885205">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03BFE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AC1882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2984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85336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2CE7A3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032C6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w:t>
            </w:r>
          </w:p>
        </w:tc>
      </w:tr>
      <w:tr w14:paraId="1EEA407C">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898E74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EB93C1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4476</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202274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80CFF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8BB044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7.50</w:t>
            </w:r>
          </w:p>
        </w:tc>
      </w:tr>
      <w:tr w14:paraId="6434D98A">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F58D11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FF39C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5968</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5B3DB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2633E9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AEA377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w:t>
            </w:r>
          </w:p>
        </w:tc>
      </w:tr>
      <w:tr w14:paraId="07620A93">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A59A2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9D6B0F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7460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02B24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B4249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F91035">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12.50</w:t>
            </w:r>
          </w:p>
        </w:tc>
      </w:tr>
      <w:tr w14:paraId="12A363F3">
        <w:tblPrEx>
          <w:tblCellMar>
            <w:top w:w="0" w:type="dxa"/>
            <w:left w:w="108" w:type="dxa"/>
            <w:bottom w:w="0" w:type="dxa"/>
            <w:right w:w="108" w:type="dxa"/>
          </w:tblCellMar>
        </w:tblPrEx>
        <w:trPr>
          <w:cantSplit/>
          <w:jc w:val="center"/>
        </w:trPr>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C44097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30%</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47E7FB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8952</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79C0B8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8B5558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D396A5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15.00</w:t>
            </w:r>
          </w:p>
        </w:tc>
      </w:tr>
    </w:tbl>
    <w:p w14:paraId="3E9EF2B8">
      <w:pPr>
        <w:spacing w:line="240" w:lineRule="auto"/>
        <w:rPr>
          <w:rFonts w:hint="eastAsia" w:ascii="宋体" w:hAnsi="宋体" w:eastAsia="宋体" w:cs="宋体"/>
          <w:sz w:val="24"/>
          <w:szCs w:val="24"/>
        </w:rPr>
      </w:pPr>
    </w:p>
    <w:p w14:paraId="3F294EE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纯B球体在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范围内几乎不形成逾渗网络。经典三维重叠球体逾渗阈值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sphere</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m:t>
        </m:r>
      </m:oMath>
      <w:r>
        <w:rPr>
          <w:rFonts w:hint="eastAsia" w:ascii="宋体" w:hAnsi="宋体" w:eastAsia="宋体" w:cs="宋体"/>
          <w:sz w:val="24"/>
          <w:szCs w:val="24"/>
        </w:rPr>
        <w:t>[1]，实测</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处</w:t>
      </w:r>
      <m:oMath>
        <m:r>
          <m:rPr/>
          <w:rPr>
            <w:rFonts w:hint="eastAsia" w:ascii="Cambria Math" w:hAnsi="Cambria Math" w:eastAsia="宋体" w:cs="宋体"/>
            <w:sz w:val="24"/>
            <w:szCs w:val="24"/>
          </w:rPr>
          <m:t>P=0.5%</m:t>
        </m:r>
      </m:oMath>
      <w:r>
        <w:rPr>
          <w:rFonts w:hint="eastAsia" w:ascii="宋体" w:hAnsi="宋体" w:eastAsia="宋体" w:cs="宋体"/>
          <w:sz w:val="24"/>
          <w:szCs w:val="24"/>
        </w:rPr>
        <w:t xml:space="preserve">与该理论一致——体系刚越过阈值，导通概率极低（200次仅1次导通，95% Clopper-Pearson CI </w:t>
      </w:r>
      <m:oMath>
        <m:r>
          <m:rPr/>
          <w:rPr>
            <w:rFonts w:hint="eastAsia" w:ascii="Cambria Math" w:hAnsi="Cambria Math" w:eastAsia="宋体" w:cs="宋体"/>
            <w:sz w:val="24"/>
            <w:szCs w:val="24"/>
          </w:rPr>
          <m:t>[0.01%,2.8%]</m:t>
        </m:r>
      </m:oMath>
      <w:r>
        <w:rPr>
          <w:rFonts w:hint="eastAsia" w:ascii="宋体" w:hAnsi="宋体" w:eastAsia="宋体" w:cs="宋体"/>
          <w:sz w:val="24"/>
          <w:szCs w:val="24"/>
        </w:rPr>
        <w:t>[3]）。按此趋势，</w:t>
      </w:r>
      <m:oMath>
        <m:r>
          <m:rPr/>
          <w:rPr>
            <w:rFonts w:hint="eastAsia" w:ascii="Cambria Math" w:hAnsi="Cambria Math" w:eastAsia="宋体" w:cs="宋体"/>
            <w:sz w:val="24"/>
            <w:szCs w:val="24"/>
          </w:rPr>
          <m:t>P≥90%</m:t>
        </m:r>
      </m:oMath>
      <w:r>
        <w:rPr>
          <w:rFonts w:hint="eastAsia" w:ascii="宋体" w:hAnsi="宋体" w:eastAsia="宋体" w:cs="宋体"/>
          <w:sz w:val="24"/>
          <w:szCs w:val="24"/>
        </w:rPr>
        <w:t>需</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，成本远超15元。纯B方案不可行。</w:t>
      </w:r>
    </w:p>
    <w:p w14:paraId="1C7CF705">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.3.2 A单独基准</w:t>
      </w:r>
    </w:p>
    <w:p w14:paraId="5B1AF14D">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A单独导通概率（300次/点）</w:t>
      </w:r>
    </w:p>
    <w:tbl>
      <w:tblPr>
        <w:tblStyle w:val="32"/>
        <w:tblW w:w="0" w:type="auto"/>
        <w:jc w:val="center"/>
        <w:tblLayout w:type="autofit"/>
        <w:tblCellMar>
          <w:top w:w="0" w:type="dxa"/>
          <w:left w:w="108" w:type="dxa"/>
          <w:bottom w:w="0" w:type="dxa"/>
          <w:right w:w="108" w:type="dxa"/>
        </w:tblCellMar>
      </w:tblPr>
      <w:tblGrid>
        <w:gridCol w:w="1836"/>
        <w:gridCol w:w="1836"/>
        <w:gridCol w:w="1836"/>
        <w:gridCol w:w="1836"/>
        <w:gridCol w:w="1836"/>
      </w:tblGrid>
      <w:tr w14:paraId="6089FBE4">
        <w:tblPrEx>
          <w:tblCellMar>
            <w:top w:w="0" w:type="dxa"/>
            <w:left w:w="108" w:type="dxa"/>
            <w:bottom w:w="0" w:type="dxa"/>
            <w:right w:w="108" w:type="dxa"/>
          </w:tblCellMar>
        </w:tblPrEx>
        <w:trPr>
          <w:cantSplit/>
          <w:tblHeader/>
          <w:jc w:val="center"/>
        </w:trPr>
        <w:tc>
          <w:tcPr>
            <w:tcW w:w="183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93E02DA">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A1810E3">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A6ED6C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04AAA71">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64E74A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成本（元）</w:t>
            </w:r>
          </w:p>
        </w:tc>
      </w:tr>
      <w:tr w14:paraId="3AE892D8">
        <w:tblPrEx>
          <w:tblCellMar>
            <w:top w:w="0" w:type="dxa"/>
            <w:left w:w="108" w:type="dxa"/>
            <w:bottom w:w="0" w:type="dxa"/>
            <w:right w:w="108" w:type="dxa"/>
          </w:tblCellMar>
        </w:tblPrEx>
        <w:trPr>
          <w:cantSplit/>
          <w:jc w:val="center"/>
        </w:trPr>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FD618A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0.3%</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A9C982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212</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AA02B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9649C6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7D607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3.15</w:t>
            </w:r>
          </w:p>
        </w:tc>
      </w:tr>
      <w:tr w14:paraId="30D2F3FB">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F70D1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2271DE">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283</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2673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C1A20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9A58A2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4.20</w:t>
            </w:r>
          </w:p>
        </w:tc>
      </w:tr>
      <w:tr w14:paraId="585CA561">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C2F3AF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D65666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9623E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47</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CC0F3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15.7%</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A4501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5.25</w:t>
            </w:r>
          </w:p>
        </w:tc>
      </w:tr>
      <w:tr w14:paraId="1D2CAB91">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7DEC46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9D7F9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A6C425">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108</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17537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36.0%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AF4C6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6.30</w:t>
            </w:r>
          </w:p>
        </w:tc>
      </w:tr>
      <w:tr w14:paraId="0D8F2D5F">
        <w:tblPrEx>
          <w:tblCellMar>
            <w:top w:w="0" w:type="dxa"/>
            <w:left w:w="108" w:type="dxa"/>
            <w:bottom w:w="0" w:type="dxa"/>
            <w:right w:w="108" w:type="dxa"/>
          </w:tblCellMar>
        </w:tblPrEx>
        <w:trPr>
          <w:cantSplit/>
          <w:jc w:val="center"/>
        </w:trPr>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D1B7BD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B8CBDE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4AAFAA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198</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F1FB62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66.0%</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A04059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7.35</w:t>
            </w:r>
          </w:p>
        </w:tc>
      </w:tr>
    </w:tbl>
    <w:p w14:paraId="348427A8">
      <w:pPr>
        <w:spacing w:line="240" w:lineRule="auto"/>
        <w:rPr>
          <w:rFonts w:hint="eastAsia" w:ascii="宋体" w:hAnsi="宋体" w:eastAsia="宋体" w:cs="宋体"/>
          <w:sz w:val="24"/>
          <w:szCs w:val="24"/>
        </w:rPr>
      </w:pPr>
    </w:p>
    <w:p w14:paraId="589E134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A的逾渗概率随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快速增长，在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=0.7%</m:t>
        </m:r>
      </m:oMath>
      <w:r>
        <w:rPr>
          <w:rFonts w:hint="eastAsia" w:ascii="宋体" w:hAnsi="宋体" w:eastAsia="宋体" w:cs="宋体"/>
          <w:sz w:val="24"/>
          <w:szCs w:val="24"/>
        </w:rPr>
        <w:t>处已达66%。已知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时</w:t>
      </w:r>
      <m:oMath>
        <m:r>
          <m:rPr/>
          <w:rPr>
            <w:rFonts w:hint="eastAsia" w:ascii="Cambria Math" w:hAnsi="Cambria Math" w:eastAsia="宋体" w:cs="宋体"/>
            <w:sz w:val="24"/>
            <w:szCs w:val="24"/>
          </w:rPr>
          <m:t>P=90.6%</m:t>
        </m:r>
      </m:oMath>
      <w:r>
        <w:rPr>
          <w:rFonts w:hint="eastAsia" w:ascii="宋体" w:hAnsi="宋体" w:eastAsia="宋体" w:cs="宋体"/>
          <w:sz w:val="24"/>
          <w:szCs w:val="24"/>
        </w:rPr>
        <w:t>（问题三）。</w:t>
      </w:r>
    </w:p>
    <w:p w14:paraId="10F8771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.3.3 混合A+B方案</w:t>
      </w:r>
    </w:p>
    <w:p w14:paraId="2B680D97">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表3 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下满足</w:t>
      </w:r>
      <m:oMath>
        <m:r>
          <m:rPr/>
          <w:rPr>
            <w:rFonts w:hint="eastAsia" w:ascii="Cambria Math" w:hAnsi="Cambria Math" w:eastAsia="宋体" w:cs="宋体"/>
            <w:sz w:val="24"/>
            <w:szCs w:val="24"/>
          </w:rPr>
          <m:t>P≥90%</m:t>
        </m:r>
      </m:oMath>
      <w:r>
        <w:rPr>
          <w:rFonts w:hint="eastAsia" w:ascii="宋体" w:hAnsi="宋体" w:eastAsia="宋体" w:cs="宋体"/>
          <w:sz w:val="24"/>
          <w:szCs w:val="24"/>
        </w:rPr>
        <w:t>的最小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及其成本</w:t>
      </w:r>
    </w:p>
    <w:tbl>
      <w:tblPr>
        <w:tblStyle w:val="32"/>
        <w:tblW w:w="0" w:type="auto"/>
        <w:jc w:val="center"/>
        <w:tblLayout w:type="autofit"/>
        <w:tblCellMar>
          <w:top w:w="0" w:type="dxa"/>
          <w:left w:w="108" w:type="dxa"/>
          <w:bottom w:w="0" w:type="dxa"/>
          <w:right w:w="108" w:type="dxa"/>
        </w:tblCellMar>
      </w:tblPr>
      <w:tblGrid>
        <w:gridCol w:w="1311"/>
        <w:gridCol w:w="1311"/>
        <w:gridCol w:w="1311"/>
        <w:gridCol w:w="1312"/>
        <w:gridCol w:w="1311"/>
        <w:gridCol w:w="1311"/>
        <w:gridCol w:w="1311"/>
      </w:tblGrid>
      <w:tr w14:paraId="37CCCCFB">
        <w:tblPrEx>
          <w:tblCellMar>
            <w:top w:w="0" w:type="dxa"/>
            <w:left w:w="108" w:type="dxa"/>
            <w:bottom w:w="0" w:type="dxa"/>
            <w:right w:w="108" w:type="dxa"/>
          </w:tblCellMar>
        </w:tblPrEx>
        <w:trPr>
          <w:cantSplit/>
          <w:tblHeader/>
          <w:jc w:val="center"/>
        </w:trPr>
        <w:tc>
          <w:tcPr>
            <w:tcW w:w="1311"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5AF0B7B">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FE23711">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14DC704">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min</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0DB606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61A94E1">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6788BF4">
            <w:pPr>
              <w:spacing w:after="0" w:line="240" w:lineRule="auto"/>
              <w:jc w:val="center"/>
              <w:rPr>
                <w:rFonts w:hint="eastAsia" w:ascii="宋体" w:hAnsi="宋体" w:eastAsia="宋体" w:cs="宋体"/>
                <w:b w:val="0"/>
                <w:color w:val="000000"/>
                <w:sz w:val="24"/>
                <w:szCs w:val="24"/>
              </w:rPr>
            </w:pPr>
            <w:r>
              <w:rPr>
                <w:rFonts w:hint="eastAsia"/>
              </w:rPr>
              <w:t>总成本（元）</w:t>
            </w:r>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10DD4CB">
            <w:pPr>
              <w:spacing w:after="0" w:line="240" w:lineRule="auto"/>
              <w:jc w:val="center"/>
              <w:rPr>
                <w:rFonts w:hint="eastAsia" w:ascii="宋体" w:hAnsi="宋体" w:eastAsia="宋体" w:cs="宋体"/>
                <w:b w:val="0"/>
                <w:color w:val="000000"/>
                <w:sz w:val="24"/>
                <w:szCs w:val="24"/>
              </w:rPr>
            </w:pPr>
            <w:r>
              <w:rPr>
                <w:rFonts w:hint="eastAsia"/>
              </w:rPr>
              <w:t>vs 纯A(8.61元)</w:t>
            </w:r>
          </w:p>
        </w:tc>
      </w:tr>
      <w:tr w14:paraId="4BA9EAE0">
        <w:tblPrEx>
          <w:tblCellMar>
            <w:top w:w="0" w:type="dxa"/>
            <w:left w:w="108" w:type="dxa"/>
            <w:bottom w:w="0" w:type="dxa"/>
            <w:right w:w="108" w:type="dxa"/>
          </w:tblCellMar>
        </w:tblPrEx>
        <w:trPr>
          <w:cantSplit/>
          <w:jc w:val="center"/>
        </w:trPr>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E04353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0.3%</w:t>
            </w:r>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5D15E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212</w:t>
            </w:r>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D8E4E3">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&gt;10%</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A9D351">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&gt;2984</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D7EE46">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&lt;20%</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B3278A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&gt;8.15</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806B92B">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2E529B90">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CB591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137622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283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3DB090">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&gt;10%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9D46D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&gt;2984</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E263878">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&lt;60%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070A88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&gt;9.20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DDE9B30">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18559FF2">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18EE8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312C57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8BE488">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≈9.38%</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55F64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2798</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7D2E3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89.0%</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2FDD99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8ACE4A">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4C196B1C">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7DF3DE">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C7F3A2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57417B7">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≈6.25%</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A4308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1865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028A49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91.0%</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F0EC2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9.43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87ABBDC">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+9.5%</w:t>
            </w:r>
          </w:p>
        </w:tc>
      </w:tr>
      <w:tr w14:paraId="4F26EBDE">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ABB8E3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C789F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9692CCA">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≈3.13%</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5B7854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933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044D03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91.7%</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4D8E071">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8.91</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F17DBF1">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+3.5%</w:t>
            </w:r>
          </w:p>
        </w:tc>
      </w:tr>
      <w:tr w14:paraId="3A71C4BB">
        <w:tblPrEx>
          <w:tblCellMar>
            <w:top w:w="0" w:type="dxa"/>
            <w:left w:w="108" w:type="dxa"/>
            <w:bottom w:w="0" w:type="dxa"/>
            <w:right w:w="108" w:type="dxa"/>
          </w:tblCellMar>
        </w:tblPrEx>
        <w:trPr>
          <w:cantSplit/>
          <w:jc w:val="center"/>
        </w:trPr>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BE4E6D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FADF80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1294E9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F455D7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DE4AEA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90.6%</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3B8056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8.61</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02B657B">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最优</w:t>
            </w:r>
          </w:p>
        </w:tc>
      </w:tr>
    </w:tbl>
    <w:p w14:paraId="5858AD75">
      <w:pPr>
        <w:spacing w:line="240" w:lineRule="auto"/>
        <w:rPr>
          <w:rFonts w:hint="eastAsia" w:ascii="宋体" w:hAnsi="宋体" w:eastAsia="宋体" w:cs="宋体"/>
          <w:sz w:val="24"/>
          <w:szCs w:val="24"/>
        </w:rPr>
      </w:pPr>
    </w:p>
    <w:p w14:paraId="46C4B1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所有混合方案中，最低成本为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=0.7%+</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=3.13%</m:t>
        </m:r>
      </m:oMath>
      <w:r>
        <w:rPr>
          <w:rFonts w:hint="eastAsia" w:ascii="宋体" w:hAnsi="宋体" w:eastAsia="宋体" w:cs="宋体"/>
          <w:sz w:val="24"/>
          <w:szCs w:val="24"/>
        </w:rPr>
        <w:t>的8.91元，仍比纯A方案高3.5%。混合方案成本更高的趋势在全部5个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水平上一致。</w:t>
      </w:r>
    </w:p>
    <w:p w14:paraId="1A15CEF9">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9.4</w:t>
      </w:r>
      <w:r>
        <w:rPr>
          <w:rFonts w:hint="eastAsia" w:ascii="宋体" w:hAnsi="宋体" w:eastAsia="宋体" w:cs="宋体"/>
          <w:b/>
          <w:sz w:val="24"/>
          <w:szCs w:val="24"/>
        </w:rPr>
        <w:t xml:space="preserve"> 为什么混合方案反而更贵？</w:t>
      </w:r>
    </w:p>
    <w:p w14:paraId="4F504FB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该反直觉结论可通过逾渗效率的尺度分析理解。金属A柱体的长径比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)≈83.3</m:t>
        </m:r>
      </m:oMath>
      <w:r>
        <w:rPr>
          <w:rFonts w:hint="eastAsia" w:ascii="宋体" w:hAnsi="宋体" w:eastAsia="宋体" w:cs="宋体"/>
          <w:sz w:val="24"/>
          <w:szCs w:val="24"/>
        </w:rPr>
        <w:t>。问题二的MC-GCPM实测逾渗阈值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，排除体积理论[2]的经典估计为</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m:t>
        </m:r>
      </m:oMath>
      <w:r>
        <w:rPr>
          <w:rFonts w:hint="eastAsia" w:ascii="宋体" w:hAnsi="宋体" w:eastAsia="宋体" w:cs="宋体"/>
          <w:sz w:val="24"/>
          <w:szCs w:val="24"/>
        </w:rPr>
        <w:t>——隧穿效应使实际阈值降低了约45%[4]。金属B球体的长径比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m:t>
        </m:r>
      </m:oMath>
      <w:r>
        <w:rPr>
          <w:rFonts w:hint="eastAsia" w:ascii="宋体" w:hAnsi="宋体" w:eastAsia="宋体" w:cs="宋体"/>
          <w:sz w:val="24"/>
          <w:szCs w:val="24"/>
        </w:rPr>
        <w:t>，三维重叠球体逾渗阈值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m:t>
        </m:r>
      </m:oMath>
      <w:r>
        <w:rPr>
          <w:rFonts w:hint="eastAsia" w:ascii="宋体" w:hAnsi="宋体" w:eastAsia="宋体" w:cs="宋体"/>
          <w:sz w:val="24"/>
          <w:szCs w:val="24"/>
        </w:rPr>
        <w:t>[1]。</w:t>
      </w:r>
    </w:p>
    <w:p w14:paraId="3393C5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逾渗效率比：基于MC实测值，A与B的逾渗效率之比为</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≈29/0.66≈44</m:t>
        </m:r>
      </m:oMath>
      <w:r>
        <w:rPr>
          <w:rFonts w:hint="eastAsia" w:ascii="宋体" w:hAnsi="宋体" w:eastAsia="宋体" w:cs="宋体"/>
          <w:sz w:val="24"/>
          <w:szCs w:val="24"/>
        </w:rPr>
        <w:t>倍。即使采用较保守的排除体积估计（</w:t>
      </w:r>
      <m:oMath>
        <m:r>
          <m:rPr/>
          <w:rPr>
            <w:rFonts w:hint="eastAsia" w:ascii="Cambria Math" w:hAnsi="Cambria Math" w:eastAsia="宋体" w:cs="宋体"/>
            <w:sz w:val="24"/>
            <w:szCs w:val="24"/>
          </w:rPr>
          <m:t>1.2%</m:t>
        </m:r>
      </m:oMath>
      <w:r>
        <w:rPr>
          <w:rFonts w:hint="eastAsia" w:ascii="宋体" w:hAnsi="宋体" w:eastAsia="宋体" w:cs="宋体"/>
          <w:sz w:val="24"/>
          <w:szCs w:val="24"/>
        </w:rPr>
        <w:t>），效率比也有</w:t>
      </w:r>
      <m:oMath>
        <m:r>
          <m:rPr/>
          <w:rPr>
            <w:rFonts w:hint="eastAsia" w:ascii="Cambria Math" w:hAnsi="Cambria Math" w:eastAsia="宋体" w:cs="宋体"/>
            <w:sz w:val="24"/>
            <w:szCs w:val="24"/>
          </w:rPr>
          <m:t>29/1.2≈24</m:t>
        </m:r>
      </m:oMath>
      <w:r>
        <w:rPr>
          <w:rFonts w:hint="eastAsia" w:ascii="宋体" w:hAnsi="宋体" w:eastAsia="宋体" w:cs="宋体"/>
          <w:sz w:val="24"/>
          <w:szCs w:val="24"/>
        </w:rPr>
        <w:t>倍。无论在哪种估计下，产生相同的导通概率增量，需要至少24-44倍体积的B来替代1体积的A。</w:t>
      </w:r>
    </w:p>
    <w:p w14:paraId="0CDDAF5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成本有效性：B便宜21倍（</w:t>
      </w:r>
      <m:oMath>
        <m:r>
          <m:rPr/>
          <w:rPr>
            <w:rFonts w:hint="eastAsia" w:ascii="Cambria Math" w:hAnsi="Cambria Math" w:eastAsia="宋体" w:cs="宋体"/>
            <w:sz w:val="24"/>
            <w:szCs w:val="24"/>
          </w:rPr>
          <m:t>1.05/0.05=21</m:t>
        </m:r>
      </m:oMath>
      <w:r>
        <w:rPr>
          <w:rFonts w:hint="eastAsia" w:ascii="宋体" w:hAnsi="宋体" w:eastAsia="宋体" w:cs="宋体"/>
          <w:sz w:val="24"/>
          <w:szCs w:val="24"/>
        </w:rPr>
        <w:t>），但逾渗效率低24-44倍。B的"性价比"（单位成本换取的逾渗贡献）仅为A的</w:t>
      </w:r>
      <m:oMath>
        <m:r>
          <m:rPr/>
          <w:rPr>
            <w:rFonts w:hint="eastAsia" w:ascii="Cambria Math" w:hAnsi="Cambria Math" w:eastAsia="宋体" w:cs="宋体"/>
            <w:sz w:val="24"/>
            <w:szCs w:val="24"/>
          </w:rPr>
          <m:t>21/44≈0.48</m:t>
        </m:r>
      </m:oMath>
      <w:r>
        <w:rPr>
          <w:rFonts w:hint="eastAsia" w:ascii="宋体" w:hAnsi="宋体" w:eastAsia="宋体" w:cs="宋体"/>
          <w:sz w:val="24"/>
          <w:szCs w:val="24"/>
        </w:rPr>
        <w:t>至</w:t>
      </w:r>
      <m:oMath>
        <m:r>
          <m:rPr/>
          <w:rPr>
            <w:rFonts w:hint="eastAsia" w:ascii="Cambria Math" w:hAnsi="Cambria Math" w:eastAsia="宋体" w:cs="宋体"/>
            <w:sz w:val="24"/>
            <w:szCs w:val="24"/>
          </w:rPr>
          <m:t>21/24≈0.88</m:t>
        </m:r>
      </m:oMath>
      <w:r>
        <w:rPr>
          <w:rFonts w:hint="eastAsia" w:ascii="宋体" w:hAnsi="宋体" w:eastAsia="宋体" w:cs="宋体"/>
          <w:sz w:val="24"/>
          <w:szCs w:val="24"/>
        </w:rPr>
        <w:t>倍——在任何合理估计下均低于A。这定量解释了为何即使B的价格优势巨大，任何B对A的替代都会使总成本升高。</w:t>
      </w:r>
    </w:p>
    <w:p w14:paraId="7D1A37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物理直观：高长径比柱体之所以逾渗效率极高，是因为其排除体积</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[2]——单根柱体即可在空间中"扫过"巨大体积、形成多个连接机会。球体的排除体积为自身物理体积的8倍（</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sph</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=8</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phys</m:t>
            </m:r>
            <m:ctrlPr>
              <w:rPr>
                <w:rFonts w:hint="eastAsia" w:ascii="Cambria Math" w:hAnsi="Cambria Math" w:eastAsia="宋体" w:cs="宋体"/>
                <w:sz w:val="24"/>
                <w:szCs w:val="24"/>
              </w:rPr>
            </m:ctrlPr>
          </m:sub>
        </m:sSub>
      </m:oMath>
      <w:r>
        <w:rPr>
          <w:rFonts w:hint="eastAsia" w:ascii="宋体" w:hAnsi="宋体" w:eastAsia="宋体" w:cs="宋体"/>
          <w:sz w:val="24"/>
          <w:szCs w:val="24"/>
        </w:rPr>
        <w:t>，因两球心间距</w:t>
      </w:r>
      <m:oMath>
        <m:r>
          <m:rPr/>
          <w:rPr>
            <w:rFonts w:hint="eastAsia" w:ascii="Cambria Math" w:hAnsi="Cambria Math" w:eastAsia="宋体" w:cs="宋体"/>
            <w:sz w:val="24"/>
            <w:szCs w:val="24"/>
          </w:rPr>
          <m:t>&lt;2r</m:t>
        </m:r>
      </m:oMath>
      <w:r>
        <w:rPr>
          <w:rFonts w:hint="eastAsia" w:ascii="宋体" w:hAnsi="宋体" w:eastAsia="宋体" w:cs="宋体"/>
          <w:sz w:val="24"/>
          <w:szCs w:val="24"/>
        </w:rPr>
        <w:t>时即重叠），但该排除体积对应的物理体积仍远小于等效长径比柱体。在低体积分数下（</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m:t>
        </m:r>
      </m:oMath>
      <w:r>
        <w:rPr>
          <w:rFonts w:hint="eastAsia" w:ascii="宋体" w:hAnsi="宋体" w:eastAsia="宋体" w:cs="宋体"/>
          <w:sz w:val="24"/>
          <w:szCs w:val="24"/>
        </w:rPr>
        <w:t>时球体平均间距约875 nm，</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m:t>
        </m:r>
      </m:oMath>
      <w:r>
        <w:rPr>
          <w:rFonts w:hint="eastAsia" w:ascii="宋体" w:hAnsi="宋体" w:eastAsia="宋体" w:cs="宋体"/>
          <w:sz w:val="24"/>
          <w:szCs w:val="24"/>
        </w:rPr>
        <w:t>时约694 nm，</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时约482 nm），球体间极少满足隧穿连接条件（中心间距</w:t>
      </w:r>
      <m:oMath>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=401.8</m:t>
        </m:r>
      </m:oMath>
      <w:r>
        <w:rPr>
          <w:rFonts w:hint="eastAsia" w:ascii="宋体" w:hAnsi="宋体" w:eastAsia="宋体" w:cs="宋体"/>
          <w:sz w:val="24"/>
          <w:szCs w:val="24"/>
        </w:rPr>
        <w:t xml:space="preserve"> nm），对逾渗网络的贡献几乎为零。</w:t>
      </w:r>
    </w:p>
    <w:p w14:paraId="6091D173">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十、</w:t>
      </w:r>
      <w:r>
        <w:rPr>
          <w:rFonts w:hint="eastAsia" w:ascii="宋体" w:hAnsi="宋体" w:eastAsia="宋体" w:cs="宋体"/>
          <w:b/>
          <w:sz w:val="24"/>
          <w:szCs w:val="24"/>
        </w:rPr>
        <w:t>模型检验与分析</w:t>
      </w:r>
    </w:p>
    <w:p w14:paraId="689338C0">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.1 几何精度与对称性</w:t>
      </w:r>
    </w:p>
    <w:p w14:paraId="1D48EE4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三组配置共144087组柱体对全部通过GMP距离计算的对称性验证，596根柱体重构长度偏差均在双精度浮点舍入误差量级。并查集连通性判定与BFS交叉验证完全一致。</w:t>
      </w:r>
    </w:p>
    <w:p w14:paraId="7F7D6129">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.2 收敛性检验</w:t>
      </w:r>
    </w:p>
    <w:p w14:paraId="0ACE4B2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问题二中各体积分数下导通概率随试验次数的阶段性收敛数据表明，500次试验已达到可接受的收敛水平，最大阶段波动在±3.3个百分点以内（与标准误差量级一致）。</w:t>
      </w:r>
    </w:p>
    <w:p w14:paraId="0699ED0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.3 置信区间方法</w:t>
      </w:r>
    </w:p>
    <w:p w14:paraId="71EAB53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Wald正态近似在中间概率处效果良好。对极端概率，Clopper-Pearson精确单侧下界99.40%取代退化的Wald区间，更真实地反映残余统计不确定性。</w:t>
      </w:r>
    </w:p>
    <w:p w14:paraId="364BC780">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.4 标度理论互验</w:t>
      </w:r>
    </w:p>
    <w:p w14:paraId="33E32C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MC-GCPM的二分搜索结果（0.82%，§5.4）与标度理论解析外推（0.816%，基于§5.3标定的参数）相差仅0.004个百分点，从完全独立的计算路径交叉验证了模型一致性。</w:t>
      </w:r>
    </w:p>
    <w:p w14:paraId="1E9B3DDD">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.5 二分搜索统计特性</w:t>
      </w:r>
    </w:p>
    <w:p w14:paraId="5EF6561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二分搜索阶段使用共享随机种子序列，有利于降低方差但使相邻步CI不完全独立。精验证阶段使用独立500次试验。两独立比例比较的功效约11%（SE_diff约1.89%），500次试验代表统计精度与计算可行性间的合理折中。</w:t>
      </w:r>
    </w:p>
    <w:p w14:paraId="561AFEF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.6 双介质协同效应</w:t>
      </w:r>
    </w:p>
    <w:p w14:paraId="6BACA4D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以问题四中A=0.5%,B=5%为例，独立叠加预测P约15.7%，实测P=49.0%——远超独立叠加预测。A与B之间存在显著逾渗协同效应：A柱体作为逾渗骨架使孤立的球体融入导电网络。但该效应未能扭转B的成本劣势。</w:t>
      </w:r>
    </w:p>
    <w:p w14:paraId="0447D9B2">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十一、</w:t>
      </w:r>
      <w:r>
        <w:rPr>
          <w:rFonts w:hint="eastAsia" w:ascii="宋体" w:hAnsi="宋体" w:eastAsia="宋体" w:cs="宋体"/>
          <w:b/>
          <w:sz w:val="24"/>
          <w:szCs w:val="24"/>
        </w:rPr>
        <w:t xml:space="preserve"> 模型评价与推广</w:t>
      </w:r>
    </w:p>
    <w:p w14:paraId="62B21014">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.1 模型优点</w:t>
      </w:r>
    </w:p>
    <w:p w14:paraId="4A0B480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几何精确性：GMP算法覆盖全部空间线段构型，144087组距离对称性验证无异常。</w:t>
      </w:r>
    </w:p>
    <w:p w14:paraId="2469B5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计算可扩展性：KD-Tree+并查集从O(N^2)降至O(N log N + |P|)，支持数千次MC试验。</w:t>
      </w:r>
    </w:p>
    <w:p w14:paraId="546D93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统计严谨性：Clopper-Pearson精确CI处理边界概率，CI判定准则避免二分搜索统计误判，固定随机种子保证完全可复现。</w:t>
      </w:r>
    </w:p>
    <w:p w14:paraId="098AF83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物理可解释性：标度理论给出逾渗普适类归属（关联长度指数约0.88），排除体积理论提供效率比定量解释，电极成核效应解释Q1/Q2阈值差异。</w:t>
      </w:r>
    </w:p>
    <w:p w14:paraId="129F731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模块化可扩展性：GMP、KD-Tree、并查集三模块松耦合可独立替换，可直接扩展为双介质体系。</w:t>
      </w:r>
    </w:p>
    <w:p w14:paraId="0E1947AD">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.2 模型缺点</w:t>
      </w:r>
    </w:p>
    <w:p w14:paraId="1825DE6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确定性局限（问题一）：仅适用于坐标给定配置，导通概率为二元值。</w:t>
      </w:r>
    </w:p>
    <w:p w14:paraId="60768FE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有限尺寸效应（问题二至四）：仅在10000 nm上模拟，热力学极限需多尺寸外推。</w:t>
      </w:r>
    </w:p>
    <w:p w14:paraId="779C38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二分搜索种子相关性（问题三）：共享种子序列使相邻步CI不完全独立。</w:t>
      </w:r>
    </w:p>
    <w:p w14:paraId="79436CD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.3 模型推广</w:t>
      </w:r>
    </w:p>
    <w:p w14:paraId="2F2C8E4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GCPM/MC-GCPM框架可推广至：多尺寸有限尺寸标度外推热力学极限逾渗参数；标度理论零MC外推替代计算密集型二分搜索；三种及以上介质的Pareto优化；非球形多分散填料体系的GMP扩展。</w:t>
      </w:r>
    </w:p>
    <w:p w14:paraId="3AC0298F">
      <w:pPr>
        <w:rPr>
          <w:rFonts w:hint="eastAsia"/>
        </w:rPr>
      </w:pPr>
    </w:p>
    <w:p w14:paraId="45D3AEB9">
      <w:pPr>
        <w:rPr>
          <w:rFonts w:hint="eastAsia"/>
        </w:rPr>
      </w:pPr>
    </w:p>
    <w:p w14:paraId="4F11F5BA">
      <w:pPr>
        <w:rPr>
          <w:rFonts w:hint="eastAsia"/>
        </w:rPr>
      </w:pPr>
    </w:p>
    <w:p w14:paraId="50F6D993">
      <w:pPr>
        <w:rPr>
          <w:rFonts w:hint="eastAsia"/>
        </w:rPr>
      </w:pPr>
    </w:p>
    <w:p w14:paraId="1ADFE212">
      <w:pPr>
        <w:rPr>
          <w:rFonts w:hint="eastAsia"/>
        </w:rPr>
      </w:pPr>
    </w:p>
    <w:p w14:paraId="6DFCB60C">
      <w:pPr>
        <w:rPr>
          <w:rFonts w:hint="eastAsia"/>
        </w:rPr>
      </w:pPr>
    </w:p>
    <w:p w14:paraId="2C7F5E73">
      <w:pPr>
        <w:rPr>
          <w:rFonts w:hint="eastAsia"/>
        </w:rPr>
      </w:pPr>
    </w:p>
    <w:p w14:paraId="33202D72">
      <w:pPr>
        <w:rPr>
          <w:rFonts w:hint="eastAsia"/>
        </w:rPr>
      </w:pPr>
    </w:p>
    <w:p w14:paraId="1DF4703A">
      <w:pPr>
        <w:rPr>
          <w:rFonts w:hint="eastAsia"/>
        </w:rPr>
      </w:pPr>
    </w:p>
    <w:p w14:paraId="3067FB7E">
      <w:pPr>
        <w:rPr>
          <w:rFonts w:hint="eastAsia"/>
        </w:rPr>
      </w:pPr>
    </w:p>
    <w:p w14:paraId="0230BC85">
      <w:pPr>
        <w:rPr>
          <w:rFonts w:hint="eastAsia"/>
        </w:rPr>
      </w:pPr>
    </w:p>
    <w:p w14:paraId="5F1C32CB">
      <w:pPr>
        <w:pStyle w:val="4"/>
        <w:spacing w:line="240" w:lineRule="auto"/>
        <w:rPr>
          <w:rFonts w:hint="eastAsia" w:ascii="宋体" w:hAnsi="宋体" w:eastAsia="宋体" w:cs="宋体"/>
          <w:b/>
          <w:sz w:val="24"/>
          <w:szCs w:val="24"/>
        </w:rPr>
      </w:pPr>
    </w:p>
    <w:p w14:paraId="335B673D">
      <w:pPr>
        <w:pStyle w:val="4"/>
        <w:spacing w:line="240" w:lineRule="auto"/>
        <w:rPr>
          <w:rFonts w:hint="eastAsia" w:ascii="宋体" w:hAnsi="宋体" w:eastAsia="宋体" w:cs="宋体"/>
          <w:sz w:val="36"/>
          <w:szCs w:val="36"/>
        </w:rPr>
      </w:pPr>
      <w:r>
        <w:rPr>
          <w:rFonts w:hint="eastAsia" w:ascii="宋体" w:hAnsi="宋体" w:eastAsia="宋体" w:cs="宋体"/>
          <w:b/>
          <w:sz w:val="24"/>
          <w:szCs w:val="24"/>
        </w:rPr>
        <w:t xml:space="preserve"> </w:t>
      </w:r>
      <w:r>
        <w:rPr>
          <w:rFonts w:hint="eastAsia" w:ascii="宋体" w:hAnsi="宋体" w:eastAsia="宋体" w:cs="宋体"/>
          <w:b/>
          <w:sz w:val="36"/>
          <w:szCs w:val="36"/>
        </w:rPr>
        <w:t>参考文献</w:t>
      </w:r>
    </w:p>
    <w:p w14:paraId="7A6DDB1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Stauffer D, Aharony A. Introduction to Percolation Theory. 2nd ed. London: Taylor &amp; Francis, 1994.</w:t>
      </w:r>
    </w:p>
    <w:p w14:paraId="78A2DF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Balberg I, Anderson C H, Alexander S, et al. Excluded volume and its relation to the onset of percolation. Physical Review B, 1984, 30(7): 3933-3948.</w:t>
      </w:r>
    </w:p>
    <w:p w14:paraId="0A66E74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Clopper C J, Pearson E S. The use of confidence or fiducial limits illustrated in the case of the binomial. Biometrika, 1934, 26(4): 404-413.</w:t>
      </w:r>
    </w:p>
    <w:p w14:paraId="746EFFF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Ambrosetti G, Grimaldi C, Balberg I, et al. Solution of the tunneling-percolation problem in the nanocomposite regime. Physical Review B, 2010, 81(15): 155434.</w:t>
      </w:r>
    </w:p>
    <w:p w14:paraId="5A9041A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Cormen T H, Leiserson C E, Rivest R L, et al. Introduction to Algorithms. 3rd ed. Cambridge: MIT Press, 2009.</w:t>
      </w:r>
    </w:p>
    <w:p w14:paraId="3834448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[6] Marsaglia G. Choosing a point from the surface of a sphere. The Annals of Mathematical Statistics, 1972, 43(2): 645-646.</w:t>
      </w:r>
    </w:p>
    <w:p w14:paraId="53CEF6D0">
      <w:pPr>
        <w:rPr>
          <w:rFonts w:hint="eastAsia"/>
        </w:rPr>
      </w:pPr>
    </w:p>
    <w:p w14:paraId="73CFA7BB">
      <w:pPr>
        <w:rPr>
          <w:rFonts w:hint="eastAsia"/>
        </w:rPr>
      </w:pPr>
    </w:p>
    <w:p w14:paraId="1822A457">
      <w:pPr>
        <w:rPr>
          <w:rFonts w:hint="eastAsia"/>
        </w:rPr>
      </w:pPr>
    </w:p>
    <w:p w14:paraId="3988E461">
      <w:pPr>
        <w:rPr>
          <w:rFonts w:hint="eastAsia"/>
        </w:rPr>
      </w:pPr>
    </w:p>
    <w:p w14:paraId="321AABCB">
      <w:pPr>
        <w:rPr>
          <w:rFonts w:hint="eastAsia"/>
        </w:rPr>
      </w:pPr>
    </w:p>
    <w:p w14:paraId="6BF79E5D">
      <w:pPr>
        <w:rPr>
          <w:rFonts w:hint="eastAsia"/>
        </w:rPr>
      </w:pPr>
    </w:p>
    <w:p w14:paraId="05245235">
      <w:pPr>
        <w:rPr>
          <w:rFonts w:hint="eastAsia"/>
        </w:rPr>
      </w:pPr>
    </w:p>
    <w:p w14:paraId="358E58F1">
      <w:pPr>
        <w:rPr>
          <w:rFonts w:hint="eastAsia"/>
        </w:rPr>
      </w:pPr>
    </w:p>
    <w:p w14:paraId="359D0349">
      <w:pPr>
        <w:rPr>
          <w:rFonts w:hint="eastAsia"/>
        </w:rPr>
      </w:pPr>
    </w:p>
    <w:p w14:paraId="306720D9">
      <w:pPr>
        <w:rPr>
          <w:rFonts w:hint="eastAsia"/>
        </w:rPr>
      </w:pPr>
    </w:p>
    <w:p w14:paraId="79E77351">
      <w:pPr>
        <w:rPr>
          <w:rFonts w:hint="eastAsia"/>
        </w:rPr>
      </w:pPr>
    </w:p>
    <w:p w14:paraId="7140B0FB">
      <w:pPr>
        <w:rPr>
          <w:rFonts w:hint="eastAsia"/>
        </w:rPr>
      </w:pPr>
    </w:p>
    <w:p w14:paraId="0707B074">
      <w:pPr>
        <w:rPr>
          <w:rFonts w:hint="eastAsia"/>
        </w:rPr>
      </w:pPr>
    </w:p>
    <w:p w14:paraId="55DFE2B7">
      <w:pPr>
        <w:rPr>
          <w:rFonts w:hint="eastAsia"/>
        </w:rPr>
      </w:pPr>
    </w:p>
    <w:p w14:paraId="283A2AB4">
      <w:pPr>
        <w:rPr>
          <w:rFonts w:hint="eastAsia"/>
        </w:rPr>
      </w:pPr>
    </w:p>
    <w:p w14:paraId="3C277296">
      <w:pPr>
        <w:rPr>
          <w:rFonts w:hint="eastAsia"/>
        </w:rPr>
      </w:pPr>
    </w:p>
    <w:p w14:paraId="54CA3839">
      <w:pPr>
        <w:rPr>
          <w:rFonts w:hint="eastAsia"/>
          <w:b/>
          <w:bCs/>
          <w:sz w:val="36"/>
          <w:szCs w:val="36"/>
        </w:rPr>
      </w:pPr>
      <w:r>
        <w:rPr>
          <w:rFonts w:hint="eastAsia"/>
          <w:b/>
          <w:bCs/>
          <w:sz w:val="36"/>
          <w:szCs w:val="36"/>
        </w:rPr>
        <w:t>附录</w:t>
      </w:r>
    </w:p>
    <w:p w14:paraId="3FC93AE0">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附录A 计算环境</w:t>
      </w:r>
    </w:p>
    <w:p w14:paraId="5062081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全部计算基于Python 3.13实现。NumPy 2.4, SciPy 1.18, openpyxl 3.1。Windows 11 x86_64。随机种子固定为42。各问题代码位于paper_output/q1-q4/code/目录。</w:t>
      </w:r>
    </w:p>
    <w:p w14:paraId="0E8A43D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附录B 最终结果汇总</w:t>
      </w:r>
    </w:p>
    <w:tbl>
      <w:tblPr>
        <w:tblStyle w:val="32"/>
        <w:tblW w:w="0" w:type="auto"/>
        <w:jc w:val="center"/>
        <w:tblLayout w:type="autofit"/>
        <w:tblCellMar>
          <w:top w:w="0" w:type="dxa"/>
          <w:left w:w="108" w:type="dxa"/>
          <w:bottom w:w="0" w:type="dxa"/>
          <w:right w:w="108" w:type="dxa"/>
        </w:tblCellMar>
      </w:tblPr>
      <w:tblGrid>
        <w:gridCol w:w="3060"/>
        <w:gridCol w:w="3060"/>
        <w:gridCol w:w="3060"/>
      </w:tblGrid>
      <w:tr w14:paraId="0C640930">
        <w:tblPrEx>
          <w:tblCellMar>
            <w:top w:w="0" w:type="dxa"/>
            <w:left w:w="108" w:type="dxa"/>
            <w:bottom w:w="0" w:type="dxa"/>
            <w:right w:w="108" w:type="dxa"/>
          </w:tblCellMar>
        </w:tblPrEx>
        <w:trPr>
          <w:cantSplit/>
          <w:tblHeader/>
          <w:jc w:val="center"/>
        </w:trPr>
        <w:tc>
          <w:tcPr>
            <w:tcW w:w="306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47C30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w:t>
            </w:r>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CC8424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核心答案</w:t>
            </w:r>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80C5C0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方法</w:t>
            </w:r>
          </w:p>
        </w:tc>
      </w:tr>
      <w:tr w14:paraId="3A1D2D66">
        <w:tblPrEx>
          <w:tblCellMar>
            <w:top w:w="0" w:type="dxa"/>
            <w:left w:w="108" w:type="dxa"/>
            <w:bottom w:w="0" w:type="dxa"/>
            <w:right w:w="108" w:type="dxa"/>
          </w:tblCellMar>
        </w:tblPrEx>
        <w:trPr>
          <w:cantSplit/>
          <w:jc w:val="center"/>
        </w:trPr>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A3670E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问题一</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A9EED0">
            <w:pPr>
              <w:spacing w:after="0" w:line="240" w:lineRule="auto"/>
              <w:jc w:val="left"/>
              <w:rPr>
                <w:rFonts w:hint="eastAsia" w:ascii="宋体" w:hAnsi="宋体" w:eastAsia="宋体" w:cs="宋体"/>
                <w:b w:val="0"/>
                <w:color w:val="000000"/>
                <w:sz w:val="24"/>
                <w:szCs w:val="24"/>
              </w:rPr>
            </w:pPr>
            <w:r>
              <w:rPr>
                <w:rFonts w:hint="eastAsia"/>
              </w:rPr>
              <w:t>组1不导通/组2导通(2跳)/组3导通(3跳)；P=0或1</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EBFAC6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GCPM</w:t>
            </w:r>
          </w:p>
        </w:tc>
      </w:tr>
      <w:tr w14:paraId="4CF26F51">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22692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问题二</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DA2425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rPr>
              <w:t>phi_c约0.66%，sigma约0.122%</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392C2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MC-GCPM</w:t>
            </w:r>
          </w:p>
        </w:tc>
      </w:tr>
      <w:tr w14:paraId="0F1BE5F2">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FCFFF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问题三</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889E47">
            <w:pPr>
              <w:spacing w:after="0" w:line="240" w:lineRule="auto"/>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phi_min=0.82%(N=580)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77306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自适应二分搜索</w:t>
            </w:r>
          </w:p>
        </w:tc>
      </w:tr>
      <w:tr w14:paraId="51C7859A">
        <w:tblPrEx>
          <w:tblCellMar>
            <w:top w:w="0" w:type="dxa"/>
            <w:left w:w="108" w:type="dxa"/>
            <w:bottom w:w="0" w:type="dxa"/>
            <w:right w:w="108" w:type="dxa"/>
          </w:tblCellMar>
        </w:tblPrEx>
        <w:trPr>
          <w:cantSplit/>
          <w:jc w:val="center"/>
        </w:trPr>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98D194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问题四</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09AF673">
            <w:pPr>
              <w:spacing w:after="0" w:line="240" w:lineRule="auto"/>
              <w:jc w:val="center"/>
              <w:rPr>
                <w:rFonts w:hint="eastAsia" w:ascii="宋体" w:hAnsi="宋体" w:eastAsia="宋体" w:cs="宋体"/>
                <w:b w:val="0"/>
                <w:color w:val="000000"/>
                <w:sz w:val="24"/>
                <w:szCs w:val="24"/>
              </w:rPr>
            </w:pPr>
            <w:r>
              <w:rPr>
                <w:rFonts w:hint="eastAsia"/>
              </w:rPr>
              <w:t>纯A最优，成本8.61元</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9B0188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双介质Pareto优化</w:t>
            </w:r>
          </w:p>
        </w:tc>
      </w:tr>
    </w:tbl>
    <w:p w14:paraId="1CAB5DC6">
      <w:pPr>
        <w:spacing w:line="240" w:lineRule="auto"/>
        <w:rPr>
          <w:rFonts w:hint="eastAsia" w:ascii="宋体" w:hAnsi="宋体" w:eastAsia="宋体" w:cs="宋体"/>
          <w:sz w:val="24"/>
          <w:szCs w:val="24"/>
        </w:rPr>
      </w:pPr>
    </w:p>
    <w:p w14:paraId="600945DA">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附录C GCPM核心代码</w:t>
      </w:r>
    </w:p>
    <w:p w14:paraId="347799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完整代码位于paper_output/q1-q4/code/目录，可通过python直接运行复现全部结果。</w:t>
      </w:r>
    </w:p>
    <w:p w14:paraId="6FE1AEE9">
      <w:pPr>
        <w:pStyle w:val="4"/>
        <w:spacing w:line="240" w:lineRule="auto"/>
        <w:ind w:firstLine="420"/>
        <w:jc w:val="both"/>
        <w:rPr>
          <w:rFonts w:hint="eastAsia" w:ascii="宋体" w:hAnsi="宋体" w:eastAsia="宋体" w:cs="宋体"/>
          <w:sz w:val="24"/>
          <w:szCs w:val="24"/>
        </w:rPr>
      </w:pPr>
    </w:p>
    <w:sectPr>
      <w:footerReference r:id="rId5" w:type="default"/>
      <w:pgSz w:w="12240" w:h="15840"/>
      <w:pgMar w:top="1440" w:right="1474" w:bottom="1440" w:left="158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Everything wanted"/>
    <w:panose1 w:val="00000000000000000000"/>
    <w:charset w:val="00"/>
    <w:family w:val="auto"/>
    <w:pitch w:val="default"/>
    <w:sig w:usb0="00000000" w:usb1="00000000" w:usb2="00000000" w:usb3="00000000" w:csb0="00000000" w:csb1="00000000"/>
  </w:font>
  <w:font w:name="Everything wanted">
    <w:panose1 w:val="02000500000000000000"/>
    <w:charset w:val="00"/>
    <w:family w:val="auto"/>
    <w:pitch w:val="default"/>
    <w:sig w:usb0="A00000FF" w:usb1="10000042"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2CF2">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3F934">
                          <w:pPr>
                            <w:pStyle w:val="2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3B3F934">
                    <w:pPr>
                      <w:pStyle w:val="2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D222A"/>
    <w:rsid w:val="070E7881"/>
    <w:rsid w:val="2ADE440E"/>
    <w:rsid w:val="30D675AD"/>
    <w:rsid w:val="45D16BF2"/>
    <w:rsid w:val="51355098"/>
    <w:rsid w:val="5C0B4C71"/>
    <w:rsid w:val="6287090C"/>
    <w:rsid w:val="631D301E"/>
    <w:rsid w:val="67CB1E78"/>
    <w:rsid w:val="6BFA214F"/>
    <w:rsid w:val="767336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4"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818</Words>
  <Characters>1010</Characters>
  <Lines>0</Lines>
  <Paragraphs>0</Paragraphs>
  <TotalTime>49</TotalTime>
  <ScaleCrop>false</ScaleCrop>
  <LinksUpToDate>false</LinksUpToDate>
  <CharactersWithSpaces>1018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聂圣东</cp:lastModifiedBy>
  <dcterms:modified xsi:type="dcterms:W3CDTF">2026-08-10T03:15:29Z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eyJoZGlkIjoiMzEwNTM5NzYwMDRjMzkwZTVkZjY2ODkwMGIxNGU0OTUiLCJ1c2VySWQiOiIxNDQ3MzQwMDc1In0=</vt:lpwstr>
  </property>
  <property fmtid="{D5CDD505-2E9C-101B-9397-08002B2CF9AE}" pid="3" name="KSOProductBuildVer">
    <vt:lpwstr>2052-12.1.0.28043</vt:lpwstr>
  </property>
  <property fmtid="{D5CDD505-2E9C-101B-9397-08002B2CF9AE}" pid="4" name="ICV">
    <vt:lpwstr>A04278081DF941E3B4C8E1C56FD8D323_13</vt:lpwstr>
  </property>
</Properties>
</file>