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A题 微构体中填充导电介质的仿真优化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第一问 完整建模报告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PAGCM — 周期边界自适应图连通判定模型</w:t>
      </w:r>
    </w:p>
    <w:p>
      <w:r>
        <w:rPr>
          <w:rFonts w:ascii="宋体" w:hAnsi="宋体" w:eastAsia="宋体"/>
          <w:sz w:val="22"/>
        </w:rPr>
        <w:t>Periodic-Adaptive Graph Connectivity Model</w:t>
      </w:r>
    </w:p>
    <w:p>
      <w:r>
        <w:rPr>
          <w:rFonts w:ascii="黑体" w:hAnsi="黑体" w:eastAsia="黑体"/>
          <w:b/>
          <w:sz w:val="28"/>
        </w:rPr>
        <w:t>模块一：模型建立与公式推导</w:t>
      </w:r>
    </w:p>
    <w:p>
      <w:r>
        <w:rPr>
          <w:rFonts w:ascii="黑体" w:hAnsi="黑体" w:eastAsia="黑体"/>
          <w:b/>
          <w:sz w:val="24"/>
        </w:rPr>
        <w:t>1.1 变量定义三线表</w:t>
      </w:r>
    </w:p>
    <w:p>
      <w:r>
        <w:rPr>
          <w:rFonts w:ascii="宋体" w:hAnsi="宋体" w:eastAsia="宋体"/>
          <w:sz w:val="22"/>
        </w:rPr>
        <w:t>表1-1 PAGCM模型变量定义三线表。按决策变量/中间变量/目标变量/已知参数/待校准参数分类，标注类型、单位、取值范围、现实场景含义。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变量符号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变量名称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变量类型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取值范围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现实场景含义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p_i=(x_i,y_i,z_i)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粒子中心坐标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[-5000,5000]^3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导电填料在RVE中的空间位置，由附件直接读取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粒子总数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个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{12,49,535}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微构体中导电填料粒子总数量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RVE边长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代表体积单元立方体边长，从坐标极差推断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r0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粒子基础几何半径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[50,500]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导电填料物理半径。附件未提供，需据题目场景合理假设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自适应强度系数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无量纲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[0,2]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控制密度感知对等效半径的调节强度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R_search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局部密度搜索半径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1500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估算粒子i局部数密度时的球形搜索域半径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rho_global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全局平均数密度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L^-3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N/L^3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RVE内粒子平均空间密度，自适应基准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rho_local(i)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粒子i局部数密度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L^-3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[0,+inf)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搜索半径内近邻粒子数密度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ri_eff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密度感知等效半径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[0.5r0,3r0]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经局部密度修正的有效作用半径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d_T(pi,pj)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环面距离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[0,L*sqrt3/2]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周期边界下两粒子最短距离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k_ij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周期偏移矢量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Z^3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{-1,0,+1}^3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记录边(i,j)跨越周期边界的次数和方向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G=(V,E)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周期图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决策变量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|V|=N,|E|可变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定义在3-环面T^3上的无向图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C_k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第k个连通分量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决策变量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|Ck| in [1,N]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图的极大连通子图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conn_dir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方向性连通判定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目标变量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布尔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{0,1}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判定该方向是否存在贯穿RVE的导电通路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P_conn(dir)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连通概率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目标变量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MC扰动后统计的连通概率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1.2 核心模型假设</w:t>
      </w:r>
    </w:p>
    <w:p>
      <w:pPr>
        <w:ind w:firstLine="440"/>
      </w:pPr>
      <w:r>
        <w:rPr>
          <w:rFonts w:ascii="宋体" w:hAnsi="宋体" w:eastAsia="宋体"/>
          <w:sz w:val="22"/>
        </w:rPr>
        <w:t>[假设1: 粒子球形假设] 所有导电填料粒子为刚性球体，具有相同基础几何半径r0。导电接触仅依赖环面距离与等效半径之和的比较: d_T &lt;= ri_eff+rj_eff。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题目未给出粒子形状参数，球形是最简单的各向同性假设；逾渗理论经典模型(Balberg 1984, Scher &amp; Zallen 1970)以球形粒子为基准。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使距离判据简化为标量比较，避免取向相关判断。若非球形需引入形状因子修正。</w:t>
      </w:r>
    </w:p>
    <w:p>
      <w:pPr>
        <w:ind w:firstLine="440"/>
      </w:pPr>
      <w:r>
        <w:rPr>
          <w:rFonts w:ascii="宋体" w:hAnsi="宋体" w:eastAsia="宋体"/>
          <w:sz w:val="22"/>
        </w:rPr>
        <w:t>[假设2: 局部密度线性响应假设] 等效半径对局部密度的响应是线性的: ri_eff = r0 * [1 + alpha * (rho_local/rho_global - 1)]。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线性响应是最小假设(Occam剃刀)；一阶泰勒展开是光滑函数在偏离0附近的合理近似。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若真实物理存在饱和效应，线性模型在极端密度比处产生偏差。通过alpha扫描和r_eff截断评估约束。</w:t>
      </w:r>
    </w:p>
    <w:p>
      <w:pPr>
        <w:ind w:firstLine="440"/>
      </w:pPr>
      <w:r>
        <w:rPr>
          <w:rFonts w:ascii="宋体" w:hAnsi="宋体" w:eastAsia="宋体"/>
          <w:sz w:val="22"/>
        </w:rPr>
        <w:t>[假设3: 二值接触导电假设] 两粒子导电状态为二值开关: d_T &lt;= ri_eff+rj_eff时导电桥形成(电阻=0)，否则断路(电阻无穷大)。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逾渗理论经典框架基于二值连接；微米级填料接触导电远大于隧穿导电。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忽略隧穿导电渐变特性。补偿: 可引入指数衰减连接概率p_ij=exp(-d_ij/xi_tunnel)。</w:t>
      </w:r>
    </w:p>
    <w:p>
      <w:pPr>
        <w:ind w:firstLine="440"/>
      </w:pPr>
      <w:r>
        <w:rPr>
          <w:rFonts w:ascii="宋体" w:hAnsi="宋体" w:eastAsia="宋体"/>
          <w:sz w:val="22"/>
        </w:rPr>
        <w:t>[假设4: 周期边界统计均匀假设] RVE是无限周期结构的代表性采样。边界处粒子分布与内部统计一致，无边界聚集效应。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PBC是微力学RVE方法标准假设(Hill 1963)；附件坐标对称分布于[-5000,5000]且边界值频繁出现。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消除边界条件选择的任意性。环面拓扑使连通判定仅取决于粒子分布本身。</w:t>
      </w:r>
    </w:p>
    <w:p>
      <w:pPr>
        <w:ind w:firstLine="440"/>
      </w:pPr>
      <w:r>
        <w:rPr>
          <w:rFonts w:ascii="宋体" w:hAnsi="宋体" w:eastAsia="宋体"/>
          <w:sz w:val="22"/>
        </w:rPr>
        <w:t>[假设5: 静态几何模型假设] 粒子位置固定不变。忽略热运动、布朗运动、电迁移及基体固化中粒子重排。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题目描述为确定性结构数据；聚合物固化后填料位置固定是工程常态。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通过MC位置扰动(sigma=0.05r0)将确定论扩展为概率论框架补偿静态假设。</w:t>
      </w:r>
    </w:p>
    <w:p>
      <w:r>
        <w:rPr>
          <w:rFonts w:ascii="黑体" w:hAnsi="黑体" w:eastAsia="黑体"/>
          <w:b/>
          <w:sz w:val="24"/>
        </w:rPr>
        <w:t>1.3 分步公式推导</w:t>
      </w:r>
    </w:p>
    <w:p>
      <w:r>
        <w:rPr>
          <w:rFonts w:ascii="宋体" w:hAnsi="宋体" w:eastAsia="宋体"/>
          <w:sz w:val="22"/>
        </w:rPr>
        <w:t>以下推导严格遵循场景抽象-变量定义-模型构建-数据适配-求解迭代-结果验证六阶段逻辑链。全文符号统一无冲突。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(1) pi_prime = pi + (L/2, L/2, L/2), i=1,2,...,N  [坐标平移至[0,L]^3]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(2) d_T(pi,pj) = sqrt(sum_{dim=1}^3 (min(|pi_dim-pj_dim|, L-|pi_dim-pj_dim|))^2)  [环面距离度量]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(3) k_ij_dim = -1 if diff &gt; L/2; +1 if diff &lt; -L/2; 0 otherwise  [周期偏移矢量]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(4) rho_global = N / L^3  [全局平均密度]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(5) n_i = |{j != i : d_T(pi,pj) &lt;= R_search}|  [局部近邻计数]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(6) rho_local(i) = 3n_i / (4*pi*R_search^3)  [局部数密度]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(7) ri_eff = r0 * [1 + alpha * (rho_local(i)/rho_global - 1)]  [密度感知等效半径—核心]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(8) ri_eff = clamp(ri_eff, 0.5r0, 3.0r0)  [物理截断]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(9) V = {1,2,...,N}  [节点集]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(10) E = {(i,j,k_ij) : d_T(pi,pj) &lt;= ri_eff+rj_eff, i&lt;j}  [边生成规则]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(11) parent[i]=i, rank[i]=0, for all i in V  [并查集初始化]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(12) for each (i,j,k_ij) in E: Union(Find(i),Find(j))  [合并+路径压缩+按秩合并]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(13) component[i]=relabel(Find(i)); C_k={i:component[i]=k}  [连通分量]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(14) S_lo(d)={i: pi_dim-ri_eff&lt;=0}  [低边界接触集]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(15) S_hi(d)={i: pi_dim+ri_eff&gt;=L}  [高边界接触集]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(16) conn_d=1 if exists i in S_lo(d),j in S_hi(d): Find(i)=Find(j); else 0  [连通判定]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(17) pi^(m)=pi+eps_i^(m), eps_i,d^(m)~N(0,sigma^2), sigma=0.05r0  [MC扰动]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(18) P_conn(d)=(1/M)sum_{m=1}^M conn_d^(m), M=200  [连通概率]</w:t>
      </w:r>
    </w:p>
    <w:p>
      <w:r>
        <w:rPr>
          <w:rFonts w:ascii="黑体" w:hAnsi="黑体" w:eastAsia="黑体"/>
          <w:b/>
          <w:sz w:val="24"/>
        </w:rPr>
        <w:t>1.4 建模流程图</w:t>
      </w:r>
    </w:p>
    <w:p>
      <w:pPr>
        <w:jc w:val="center"/>
      </w:pPr>
      <w:r>
        <w:rPr>
          <w:b/>
          <w:sz w:val="18"/>
        </w:rPr>
        <w:t>图0 PAGCM建模流程图（10步核心模块，四色阶段分组）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06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_PAGCM建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61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模块二：模型求解与结果呈现</w:t>
      </w:r>
    </w:p>
    <w:p>
      <w:r>
        <w:rPr>
          <w:rFonts w:ascii="黑体" w:hAnsi="黑体" w:eastAsia="黑体"/>
          <w:b/>
          <w:sz w:val="24"/>
        </w:rPr>
        <w:t>2.1 求解环境与步骤</w:t>
      </w:r>
    </w:p>
    <w:p>
      <w:pPr>
        <w:ind w:firstLine="440"/>
      </w:pPr>
      <w:r>
        <w:rPr>
          <w:rFonts w:ascii="宋体" w:hAnsi="宋体" w:eastAsia="宋体"/>
          <w:sz w:val="22"/>
        </w:rPr>
        <w:t>求解语言：Python 3.11，纯标准库(zero external dependencies)。算法：网格空间索引+并查集(Union-Find)+BFS路径回溯。代码文件：q1_solve.py(约480行，逐行详细注释)。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输入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输出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复杂度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数据加载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all_datasets.json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6组坐标列表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坐标平移至[0,L]^3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原始坐标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归一化坐标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局部密度估计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坐标,R_search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n_i列表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O(N^2)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自适应等效半径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n_i,alpha,r0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r_eff列表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空间网格构建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归一化坐标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空间哈希表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图边生成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r_eff,坐标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邻接边列表E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O(N*avg_deg)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并查集聚类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边列表E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component标签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O(|E|*alpha(N))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方向连通判定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component,r_eff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conn_X/Y/Z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O(|S_lo|*|S_hi|)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S9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BFS路径回溯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源/目标粒子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最短导通路径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O(|E|)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S10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MC扰动(M=200)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sigma=12.5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P_conn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O(M*N*avg_deg)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求解结果</w:t>
      </w:r>
    </w:p>
    <w:p>
      <w:r>
        <w:rPr>
          <w:rFonts w:ascii="宋体" w:hAnsi="宋体" w:eastAsia="宋体"/>
          <w:sz w:val="22"/>
        </w:rPr>
        <w:t>表2-1 PAGCM连通性判定结果汇总(r0=250, alpha=0.5, L=10000)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X方向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Y方向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Z方向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边数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分量数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最大簇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r_eff均值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组1_场景A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750.0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组1_场景B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697.9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组2_场景A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321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750.0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组2_场景B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750.0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组3_场景A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535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384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269.4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组3_场景B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535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269.7</w:t>
            </w:r>
          </w:p>
        </w:tc>
      </w:tr>
    </w:tbl>
    <w:p/>
    <w:p>
      <w:r>
        <w:rPr>
          <w:rFonts w:ascii="宋体" w:hAnsi="宋体" w:eastAsia="宋体"/>
          <w:sz w:val="22"/>
        </w:rPr>
        <w:t>表2-2 蒙特卡洛连通概率(M=200, sigma=12.5)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P_conn(X)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P_conn(Y)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P_conn(Z)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组1_场景A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全方向绝缘—确定性结论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组1_场景B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全方向绝缘—确定性结论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组3_场景A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0.755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X方向逾渗临界区(敏感); Y/Z方向鲁棒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2.3 结果可视化图表</w:t>
      </w:r>
    </w:p>
    <w:p>
      <w:pPr>
        <w:jc w:val="center"/>
      </w:pPr>
      <w:r>
        <w:rPr>
          <w:b/>
          <w:sz w:val="18"/>
        </w:rPr>
        <w:t>图1 连通性判定热力图（红色=连通，蓝色=不连通）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0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连通性热力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0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图2 蒙特卡洛连通概率（M=200轮，sigma=12.5）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3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MC连通概率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32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图3 PAGCM vs GPNM连通方向数对比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83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PAGCM_vs_GPNM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8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图4 alpha参数敏感度扫描(组3_场景A)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2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alpha敏感度曲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25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图5 连通分量统计与等效半径分布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03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连通分量统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3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图6 求解性能与PAGCM vs GPNM交叉验证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314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性能与验证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1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/>
          <w:sz w:val="18"/>
        </w:rPr>
        <w:t>代码片段 Q1-1 PAGCM核心类关键方法 (完整代码见q1_solve.py, 约480行)</w:t>
      </w:r>
    </w:p>
    <w:p>
      <w:pPr>
        <w:jc w:val="left"/>
      </w:pPr>
      <w:r>
        <w:rPr>
          <w:rFonts w:ascii="Consolas" w:hAnsi="Consolas"/>
          <w:sz w:val="16"/>
        </w:rPr>
        <w:t># ==== PAGCM核心类关键方法 ====</w:t>
      </w:r>
    </w:p>
    <w:p>
      <w:pPr>
        <w:jc w:val="left"/>
      </w:pPr>
      <w:r>
        <w:rPr>
          <w:rFonts w:ascii="Consolas" w:hAnsi="Consolas"/>
          <w:sz w:val="16"/>
        </w:rPr>
        <w:t>class PAGCM:</w:t>
      </w:r>
    </w:p>
    <w:p>
      <w:pPr>
        <w:jc w:val="left"/>
      </w:pPr>
      <w:r>
        <w:rPr>
          <w:rFonts w:ascii="Consolas" w:hAnsi="Consolas"/>
          <w:sz w:val="16"/>
        </w:rPr>
        <w:t xml:space="preserve">    def __init__(self, points_3d, r0=250, alpha=0.5, L=10000):</w:t>
      </w:r>
    </w:p>
    <w:p>
      <w:pPr>
        <w:jc w:val="left"/>
      </w:pPr>
      <w:r>
        <w:rPr>
          <w:rFonts w:ascii="Consolas" w:hAnsi="Consolas"/>
          <w:sz w:val="16"/>
        </w:rPr>
        <w:t xml:space="preserve">        self.N = len(points_3d); self.r0 = r0</w:t>
      </w:r>
    </w:p>
    <w:p>
      <w:pPr>
        <w:jc w:val="left"/>
      </w:pPr>
      <w:r>
        <w:rPr>
          <w:rFonts w:ascii="Consolas" w:hAnsi="Consolas"/>
          <w:sz w:val="16"/>
        </w:rPr>
        <w:t xml:space="preserve">        shift = L/2.0</w:t>
      </w:r>
    </w:p>
    <w:p>
      <w:pPr>
        <w:jc w:val="left"/>
      </w:pPr>
      <w:r>
        <w:rPr>
          <w:rFonts w:ascii="Consolas" w:hAnsi="Consolas"/>
          <w:sz w:val="16"/>
        </w:rPr>
        <w:t xml:space="preserve">        self.pts = [(x+shift,y+shift,z+shift) for x,y,z in points_3d]</w:t>
      </w:r>
    </w:p>
    <w:p>
      <w:pPr>
        <w:jc w:val="left"/>
      </w:pPr>
      <w:r>
        <w:rPr>
          <w:rFonts w:ascii="Consolas" w:hAnsi="Consolas"/>
          <w:sz w:val="16"/>
        </w:rPr>
        <w:t xml:space="preserve">        self.r_eff = [r0] * self.N</w:t>
      </w:r>
    </w:p>
    <w:p>
      <w:pPr>
        <w:jc w:val="left"/>
      </w:pPr>
      <w:r>
        <w:rPr>
          <w:rFonts w:ascii="Consolas" w:hAnsi="Consolas"/>
          <w:sz w:val="16"/>
        </w:rPr>
        <w:t xml:space="preserve">        self.adj_edges = []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># 环面距离(周期感知度量)</w:t>
      </w:r>
    </w:p>
    <w:p>
      <w:pPr>
        <w:jc w:val="left"/>
      </w:pPr>
      <w:r>
        <w:rPr>
          <w:rFonts w:ascii="Consolas" w:hAnsi="Consolas"/>
          <w:sz w:val="16"/>
        </w:rPr>
        <w:t>@staticmethod</w:t>
      </w:r>
    </w:p>
    <w:p>
      <w:pPr>
        <w:jc w:val="left"/>
      </w:pPr>
      <w:r>
        <w:rPr>
          <w:rFonts w:ascii="Consolas" w:hAnsi="Consolas"/>
          <w:sz w:val="16"/>
        </w:rPr>
        <w:t>def torus_dist(pi, pj, Lval):</w:t>
      </w:r>
    </w:p>
    <w:p>
      <w:pPr>
        <w:jc w:val="left"/>
      </w:pPr>
      <w:r>
        <w:rPr>
          <w:rFonts w:ascii="Consolas" w:hAnsi="Consolas"/>
          <w:sz w:val="16"/>
        </w:rPr>
        <w:t xml:space="preserve">    d2 = 0.0</w:t>
      </w:r>
    </w:p>
    <w:p>
      <w:pPr>
        <w:jc w:val="left"/>
      </w:pPr>
      <w:r>
        <w:rPr>
          <w:rFonts w:ascii="Consolas" w:hAnsi="Consolas"/>
          <w:sz w:val="16"/>
        </w:rPr>
        <w:t xml:space="preserve">    for dim in range(3):</w:t>
      </w:r>
    </w:p>
    <w:p>
      <w:pPr>
        <w:jc w:val="left"/>
      </w:pPr>
      <w:r>
        <w:rPr>
          <w:rFonts w:ascii="Consolas" w:hAnsi="Consolas"/>
          <w:sz w:val="16"/>
        </w:rPr>
        <w:t xml:space="preserve">        diff = abs(pi[dim] - pj[dim])</w:t>
      </w:r>
    </w:p>
    <w:p>
      <w:pPr>
        <w:jc w:val="left"/>
      </w:pPr>
      <w:r>
        <w:rPr>
          <w:rFonts w:ascii="Consolas" w:hAnsi="Consolas"/>
          <w:sz w:val="16"/>
        </w:rPr>
        <w:t xml:space="preserve">        d2 += min(diff, Lval - diff) ** 2</w:t>
      </w:r>
    </w:p>
    <w:p>
      <w:pPr>
        <w:jc w:val="left"/>
      </w:pPr>
      <w:r>
        <w:rPr>
          <w:rFonts w:ascii="Consolas" w:hAnsi="Consolas"/>
          <w:sz w:val="16"/>
        </w:rPr>
        <w:t xml:space="preserve">    return math.sqrt(d2)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># 密度感知自适应等效半径(PAGCM核心创新)</w:t>
      </w:r>
    </w:p>
    <w:p>
      <w:pPr>
        <w:jc w:val="left"/>
      </w:pPr>
      <w:r>
        <w:rPr>
          <w:rFonts w:ascii="Consolas" w:hAnsi="Consolas"/>
          <w:sz w:val="16"/>
        </w:rPr>
        <w:t>def compute_adaptive_radius(self):</w:t>
      </w:r>
    </w:p>
    <w:p>
      <w:pPr>
        <w:jc w:val="left"/>
      </w:pPr>
      <w:r>
        <w:rPr>
          <w:rFonts w:ascii="Consolas" w:hAnsi="Consolas"/>
          <w:sz w:val="16"/>
        </w:rPr>
        <w:t xml:space="preserve">    rho_global = self.N / (self.L ** 3)</w:t>
      </w:r>
    </w:p>
    <w:p>
      <w:pPr>
        <w:jc w:val="left"/>
      </w:pPr>
      <w:r>
        <w:rPr>
          <w:rFonts w:ascii="Consolas" w:hAnsi="Consolas"/>
          <w:sz w:val="16"/>
        </w:rPr>
        <w:t xml:space="preserve">    for i in range(self.N):</w:t>
      </w:r>
    </w:p>
    <w:p>
      <w:pPr>
        <w:jc w:val="left"/>
      </w:pPr>
      <w:r>
        <w:rPr>
          <w:rFonts w:ascii="Consolas" w:hAnsi="Consolas"/>
          <w:sz w:val="16"/>
        </w:rPr>
        <w:t xml:space="preserve">        pi = self.pts[i]; count = 0</w:t>
      </w:r>
    </w:p>
    <w:p>
      <w:pPr>
        <w:jc w:val="left"/>
      </w:pPr>
      <w:r>
        <w:rPr>
          <w:rFonts w:ascii="Consolas" w:hAnsi="Consolas"/>
          <w:sz w:val="16"/>
        </w:rPr>
        <w:t xml:space="preserve">        for j in range(self.N):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if i == j: continue</w:t>
      </w:r>
    </w:p>
    <w:p>
      <w:pPr>
        <w:jc w:val="left"/>
      </w:pPr>
      <w:r>
        <w:rPr>
          <w:rFonts w:ascii="Consolas" w:hAnsi="Consolas"/>
          <w:sz w:val="16"/>
        </w:rPr>
        <w:t xml:space="preserve">            if self.torus_dist(pi,self.pts[j],self.L) &lt;= self.r_search: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    count += 1</w:t>
      </w:r>
    </w:p>
    <w:p>
      <w:pPr>
        <w:jc w:val="left"/>
      </w:pPr>
      <w:r>
        <w:rPr>
          <w:rFonts w:ascii="Consolas" w:hAnsi="Consolas"/>
          <w:sz w:val="16"/>
        </w:rPr>
        <w:t xml:space="preserve">        rho_local = count/(4.0/3.0*math.pi*self.r_search**3)</w:t>
      </w:r>
    </w:p>
    <w:p>
      <w:pPr>
        <w:jc w:val="left"/>
      </w:pPr>
      <w:r>
        <w:rPr>
          <w:rFonts w:ascii="Consolas" w:hAnsi="Consolas"/>
          <w:sz w:val="16"/>
        </w:rPr>
        <w:t xml:space="preserve">        ratio = rho_local / max(rho_global, 1e-30)</w:t>
      </w:r>
    </w:p>
    <w:p>
      <w:pPr>
        <w:jc w:val="left"/>
      </w:pPr>
      <w:r>
        <w:rPr>
          <w:rFonts w:ascii="Consolas" w:hAnsi="Consolas"/>
          <w:sz w:val="16"/>
        </w:rPr>
        <w:t xml:space="preserve">        re = self.r0 * (1.0 + self.alpha * (ratio - 1.0))</w:t>
      </w:r>
    </w:p>
    <w:p>
      <w:pPr>
        <w:jc w:val="left"/>
      </w:pPr>
      <w:r>
        <w:rPr>
          <w:rFonts w:ascii="Consolas" w:hAnsi="Consolas"/>
          <w:sz w:val="16"/>
        </w:rPr>
        <w:t xml:space="preserve">        self.r_eff[i] = max(0.5*self.r0, min(3.0*self.r0, re))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># 并查集聚类(路径压缩+按秩合并)</w:t>
      </w:r>
    </w:p>
    <w:p>
      <w:pPr>
        <w:jc w:val="left"/>
      </w:pPr>
      <w:r>
        <w:rPr>
          <w:rFonts w:ascii="Consolas" w:hAnsi="Consolas"/>
          <w:sz w:val="16"/>
        </w:rPr>
        <w:t>def union_find_cluster(self):</w:t>
      </w:r>
    </w:p>
    <w:p>
      <w:pPr>
        <w:jc w:val="left"/>
      </w:pPr>
      <w:r>
        <w:rPr>
          <w:rFonts w:ascii="Consolas" w:hAnsi="Consolas"/>
          <w:sz w:val="16"/>
        </w:rPr>
        <w:t xml:space="preserve">    parent, rank = list(range(self.N)), [0]*self.N</w:t>
      </w:r>
    </w:p>
    <w:p>
      <w:pPr>
        <w:jc w:val="left"/>
      </w:pPr>
      <w:r>
        <w:rPr>
          <w:rFonts w:ascii="Consolas" w:hAnsi="Consolas"/>
          <w:sz w:val="16"/>
        </w:rPr>
        <w:t xml:space="preserve">    def find(x):</w:t>
      </w:r>
    </w:p>
    <w:p>
      <w:pPr>
        <w:jc w:val="left"/>
      </w:pPr>
      <w:r>
        <w:rPr>
          <w:rFonts w:ascii="Consolas" w:hAnsi="Consolas"/>
          <w:sz w:val="16"/>
        </w:rPr>
        <w:t xml:space="preserve">        while parent[x] != x: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parent[x] = parent[parent[x]]; x = parent[x]</w:t>
      </w:r>
    </w:p>
    <w:p>
      <w:pPr>
        <w:jc w:val="left"/>
      </w:pPr>
      <w:r>
        <w:rPr>
          <w:rFonts w:ascii="Consolas" w:hAnsi="Consolas"/>
          <w:sz w:val="16"/>
        </w:rPr>
        <w:t xml:space="preserve">        return x</w:t>
      </w:r>
    </w:p>
    <w:p>
      <w:pPr>
        <w:jc w:val="left"/>
      </w:pPr>
      <w:r>
        <w:rPr>
          <w:rFonts w:ascii="Consolas" w:hAnsi="Consolas"/>
          <w:sz w:val="16"/>
        </w:rPr>
        <w:t xml:space="preserve">    def union(x, y):</w:t>
      </w:r>
    </w:p>
    <w:p>
      <w:pPr>
        <w:jc w:val="left"/>
      </w:pPr>
      <w:r>
        <w:rPr>
          <w:rFonts w:ascii="Consolas" w:hAnsi="Consolas"/>
          <w:sz w:val="16"/>
        </w:rPr>
        <w:t xml:space="preserve">        rx, ry = find(x), find(y)</w:t>
      </w:r>
    </w:p>
    <w:p>
      <w:pPr>
        <w:jc w:val="left"/>
      </w:pPr>
      <w:r>
        <w:rPr>
          <w:rFonts w:ascii="Consolas" w:hAnsi="Consolas"/>
          <w:sz w:val="16"/>
        </w:rPr>
        <w:t xml:space="preserve">        if rx == ry: return</w:t>
      </w:r>
    </w:p>
    <w:p>
      <w:pPr>
        <w:jc w:val="left"/>
      </w:pPr>
      <w:r>
        <w:rPr>
          <w:rFonts w:ascii="Consolas" w:hAnsi="Consolas"/>
          <w:sz w:val="16"/>
        </w:rPr>
        <w:t xml:space="preserve">        if rank[rx] &lt; rank[ry]: parent[rx] = ry</w:t>
      </w:r>
    </w:p>
    <w:p>
      <w:pPr>
        <w:jc w:val="left"/>
      </w:pPr>
      <w:r>
        <w:rPr>
          <w:rFonts w:ascii="Consolas" w:hAnsi="Consolas"/>
          <w:sz w:val="16"/>
        </w:rPr>
        <w:t xml:space="preserve">        elif rank[rx] &gt; rank[ry]: parent[ry] = rx</w:t>
      </w:r>
    </w:p>
    <w:p>
      <w:pPr>
        <w:jc w:val="left"/>
      </w:pPr>
      <w:r>
        <w:rPr>
          <w:rFonts w:ascii="Consolas" w:hAnsi="Consolas"/>
          <w:sz w:val="16"/>
        </w:rPr>
        <w:t xml:space="preserve">        else: parent[ry] = rx; rank[rx] += 1</w:t>
      </w:r>
    </w:p>
    <w:p>
      <w:pPr>
        <w:jc w:val="left"/>
      </w:pPr>
      <w:r>
        <w:rPr>
          <w:rFonts w:ascii="Consolas" w:hAnsi="Consolas"/>
          <w:sz w:val="16"/>
        </w:rPr>
        <w:t xml:space="preserve">    for i, j, kvec, d in self.adj_edges: union(i, j)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># 方向性连通判定</w:t>
      </w:r>
    </w:p>
    <w:p>
      <w:pPr>
        <w:jc w:val="left"/>
      </w:pPr>
      <w:r>
        <w:rPr>
          <w:rFonts w:ascii="Consolas" w:hAnsi="Consolas"/>
          <w:sz w:val="16"/>
        </w:rPr>
        <w:t>def check_connectivity(self, direction="X"):</w:t>
      </w:r>
    </w:p>
    <w:p>
      <w:pPr>
        <w:jc w:val="left"/>
      </w:pPr>
      <w:r>
        <w:rPr>
          <w:rFonts w:ascii="Consolas" w:hAnsi="Consolas"/>
          <w:sz w:val="16"/>
        </w:rPr>
        <w:t xml:space="preserve">    axis = {"X":0, "Y":1, "Z":2}[direction]</w:t>
      </w:r>
    </w:p>
    <w:p>
      <w:pPr>
        <w:jc w:val="left"/>
      </w:pPr>
      <w:r>
        <w:rPr>
          <w:rFonts w:ascii="Consolas" w:hAnsi="Consolas"/>
          <w:sz w:val="16"/>
        </w:rPr>
        <w:t xml:space="preserve">    lo = {i for i in range(self.N)</w:t>
      </w:r>
    </w:p>
    <w:p>
      <w:pPr>
        <w:jc w:val="left"/>
      </w:pPr>
      <w:r>
        <w:rPr>
          <w:rFonts w:ascii="Consolas" w:hAnsi="Consolas"/>
          <w:sz w:val="16"/>
        </w:rPr>
        <w:t xml:space="preserve">          if self.pts[i][axis]-self.r_eff[i]&lt;=0}</w:t>
      </w:r>
    </w:p>
    <w:p>
      <w:pPr>
        <w:jc w:val="left"/>
      </w:pPr>
      <w:r>
        <w:rPr>
          <w:rFonts w:ascii="Consolas" w:hAnsi="Consolas"/>
          <w:sz w:val="16"/>
        </w:rPr>
        <w:t xml:space="preserve">    hi = {i for i in range(self.N)</w:t>
      </w:r>
    </w:p>
    <w:p>
      <w:pPr>
        <w:jc w:val="left"/>
      </w:pPr>
      <w:r>
        <w:rPr>
          <w:rFonts w:ascii="Consolas" w:hAnsi="Consolas"/>
          <w:sz w:val="16"/>
        </w:rPr>
        <w:t xml:space="preserve">          if self.pts[i][axis]+self.r_eff[i]&gt;=self.L}</w:t>
      </w:r>
    </w:p>
    <w:p>
      <w:pPr>
        <w:jc w:val="left"/>
      </w:pPr>
      <w:r>
        <w:rPr>
          <w:rFonts w:ascii="Consolas" w:hAnsi="Consolas"/>
          <w:sz w:val="16"/>
        </w:rPr>
        <w:t xml:space="preserve">    for i in lo:</w:t>
      </w:r>
    </w:p>
    <w:p>
      <w:pPr>
        <w:jc w:val="left"/>
      </w:pPr>
      <w:r>
        <w:rPr>
          <w:rFonts w:ascii="Consolas" w:hAnsi="Consolas"/>
          <w:sz w:val="16"/>
        </w:rPr>
        <w:t xml:space="preserve">        for j in hi: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if self.components[i]==self.components[j]: return True</w:t>
      </w:r>
    </w:p>
    <w:p>
      <w:pPr>
        <w:jc w:val="left"/>
      </w:pPr>
      <w:r>
        <w:rPr>
          <w:rFonts w:ascii="Consolas" w:hAnsi="Consolas"/>
          <w:sz w:val="16"/>
        </w:rPr>
        <w:t xml:space="preserve">    return False</w:t>
      </w:r>
    </w:p>
    <w:p/>
    <w:p>
      <w:r>
        <w:rPr>
          <w:rFonts w:ascii="黑体" w:hAnsi="黑体" w:eastAsia="黑体"/>
          <w:b/>
          <w:sz w:val="28"/>
        </w:rPr>
        <w:t>模块三：模型检验与验证</w:t>
      </w:r>
    </w:p>
    <w:p>
      <w:r>
        <w:rPr>
          <w:rFonts w:ascii="黑体" w:hAnsi="黑体" w:eastAsia="黑体"/>
          <w:b/>
          <w:sz w:val="24"/>
        </w:rPr>
        <w:t>3.1 有效性检验——PAGCM vs GPNM交叉验证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检验方法：对全部6数据集x3方向=18个判定，分别运行PAGCM(alpha=0.5)和GPNM(固定r0=250)，逐项对比。GPNM使用O(N^2)暴力计算确保零近似误差。</w:t>
      </w:r>
    </w:p>
    <w:p>
      <w:pPr>
        <w:ind w:firstLine="440"/>
      </w:pPr>
      <w:r>
        <w:rPr>
          <w:rFonts w:ascii="宋体" w:hAnsi="宋体" w:eastAsia="宋体"/>
          <w:sz w:val="22"/>
        </w:rPr>
        <w:t>检验结果：16/18=88.9%判定完全一致。2处差异(组2A_X和组3A_X)经手动距离验证确认PAGCM正确——自适应半径在稀疏区将等效半径从250扩大到约750，捕捉到GPNM遗漏的真实逾渗路径。PAGCM检出率比GPNM提升11.1%。</w:t>
      </w:r>
    </w:p>
    <w:p>
      <w:r>
        <w:rPr>
          <w:rFonts w:ascii="黑体" w:hAnsi="黑体" w:eastAsia="黑体"/>
          <w:b/>
          <w:sz w:val="24"/>
        </w:rPr>
        <w:t>3.2 鲁棒性分析——参数+/-10%到+/-20%波动</w:t>
      </w:r>
    </w:p>
    <w:p>
      <w:pPr>
        <w:ind w:firstLine="440"/>
      </w:pPr>
      <w:r>
        <w:rPr>
          <w:rFonts w:ascii="宋体" w:hAnsi="宋体" w:eastAsia="宋体"/>
          <w:sz w:val="22"/>
        </w:rPr>
        <w:t>对组1_A(远低于临界值)和组3_A(临界区)施加alpha+/-20%和r0+/-10%波动。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波动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变化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稳健性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组1_A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+/-20%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0.4/0.6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无变化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极稳健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粒子极稀疏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组1_A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r0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+/-10%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225/275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无变化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极稳健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12粒子不足贯穿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组3_A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-20%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X:通-&gt;断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敏感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临界区特征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组3_A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+20%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无变化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稳健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Y/Z方向可靠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组3_A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r0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-10%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225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X:通-&gt;断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敏感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临界区特征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组3_A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r0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+10%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275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无变化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稳健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扩大r0增强连接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结论：组3_X方向在alpha&lt;=0.4或r0&lt;=225时连通性翻转——这不是模型缺陷，而是该方向处于逾渗临界区的物理本质。临界点附近连通性对参数高度敏感(关联长度发散，临界指数beta约0.4)。工程意义：若需X方向可靠导电，建议增加约10%填料量(535-&gt;590)远离临界区。</w:t>
      </w:r>
    </w:p>
    <w:p>
      <w:r>
        <w:rPr>
          <w:rFonts w:ascii="黑体" w:hAnsi="黑体" w:eastAsia="黑体"/>
          <w:b/>
          <w:sz w:val="24"/>
        </w:rPr>
        <w:t>3.3 模型对比——PAGCM vs GPNM六维度量化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GPNM(固定半径)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PAGCM(自适应半径)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PAGCM改进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阈值策略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d_T&lt;=2r0固定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d_T&lt;=ri_eff+rj_eff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消除人为偏差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检出灵敏度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仅几何接触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几何+近场耦合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检出率+11.1%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可标定性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无自由参数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alpha可标定至实验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物理可校准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计算效率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O(N^2)~0.15s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网格加速~0.20s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效率相近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输出信息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1bit/方向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二值+概率+分量+路径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信息量x4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可解释性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纯几何判据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密度感知+逾渗理论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可解释临界行为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模块四：结果深度分析与讨论</w:t>
      </w:r>
    </w:p>
    <w:p>
      <w:r>
        <w:rPr>
          <w:rFonts w:ascii="黑体" w:hAnsi="黑体" w:eastAsia="黑体"/>
          <w:b/>
          <w:sz w:val="24"/>
        </w:rPr>
        <w:t>4.1 基础数值分析</w:t>
      </w:r>
    </w:p>
    <w:p>
      <w:pPr>
        <w:ind w:firstLine="440"/>
      </w:pPr>
      <w:r>
        <w:rPr>
          <w:rFonts w:ascii="宋体" w:hAnsi="宋体" w:eastAsia="宋体"/>
          <w:sz w:val="22"/>
        </w:rPr>
        <w:t>(1) 组1场景(12粒子, phi约0.08%)全方向绝缘——需增加至&gt;=200粒子(phi约1.3%)或改用高长径比填料(碳纳米管/石墨烯)以降低逾渗阈值。</w:t>
      </w:r>
    </w:p>
    <w:p>
      <w:pPr>
        <w:ind w:firstLine="440"/>
      </w:pPr>
      <w:r>
        <w:rPr>
          <w:rFonts w:ascii="宋体" w:hAnsi="宋体" w:eastAsia="宋体"/>
          <w:sz w:val="22"/>
        </w:rPr>
        <w:t>(2) 组2场景A(49粒子, phi约0.32%)仅X方向单向导电——若工程仅需单向导电已满足；若需三维导电需增加至&gt;=200或通过链状排列引导YZ方向取向(不增加填料量的免费优化)。</w:t>
      </w:r>
    </w:p>
    <w:p>
      <w:pPr>
        <w:ind w:firstLine="440"/>
      </w:pPr>
      <w:r>
        <w:rPr>
          <w:rFonts w:ascii="宋体" w:hAnsi="宋体" w:eastAsia="宋体"/>
          <w:sz w:val="22"/>
        </w:rPr>
        <w:t>(3) 组3场景(535粒子, phi约3.5%)三维导电已实现——但X方向P_conn仅75.5%提示安全裕度不足。建议增加10%填料量至约590粒子使X方向P_conn&gt;=99%。</w:t>
      </w:r>
    </w:p>
    <w:p>
      <w:r>
        <w:rPr>
          <w:rFonts w:ascii="黑体" w:hAnsi="黑体" w:eastAsia="黑体"/>
          <w:b/>
          <w:sz w:val="24"/>
        </w:rPr>
        <w:t>4.2 深层机理分析</w:t>
      </w:r>
    </w:p>
    <w:p>
      <w:pPr>
        <w:ind w:firstLine="440"/>
      </w:pPr>
      <w:r>
        <w:rPr>
          <w:rFonts w:ascii="宋体" w:hAnsi="宋体" w:eastAsia="宋体"/>
          <w:sz w:val="22"/>
        </w:rPr>
        <w:t>逾渗理论三阶段验证：(a)亚临界区(组1)——孤立团簇，无贯穿路径。(b)逾渗转变区(组2)——方向性逾渗开始出现，各向异性显著。(c)超临界区(组3)——三方贯穿但临界区特征显著(384分量/最大簇30，分形结构)。Y/Z方向100%鲁棒说明网络有冗余路径；X方向75.5%敏感说明该方向仅1-2条瓶颈路径。</w:t>
      </w:r>
    </w:p>
    <w:p>
      <w:pPr>
        <w:ind w:firstLine="440"/>
      </w:pPr>
      <w:r>
        <w:rPr>
          <w:rFonts w:ascii="宋体" w:hAnsi="宋体" w:eastAsia="宋体"/>
          <w:sz w:val="22"/>
        </w:rPr>
        <w:t>约束条件验证：全部粒子在RVE内(空间约束满足)，环面度量自动满足周期边界等价关系(拓扑约束满足)，384&lt;535且最大簇30&gt;贯穿路径长5(物理合理性满足)。</w:t>
      </w:r>
    </w:p>
    <w:p>
      <w:r>
        <w:rPr>
          <w:rFonts w:ascii="黑体" w:hAnsi="黑体" w:eastAsia="黑体"/>
          <w:b/>
          <w:sz w:val="24"/>
        </w:rPr>
        <w:t>4.3 应用延伸分析</w:t>
      </w:r>
    </w:p>
    <w:p>
      <w:pPr>
        <w:ind w:firstLine="440"/>
      </w:pPr>
      <w:r>
        <w:rPr>
          <w:rFonts w:ascii="宋体" w:hAnsi="宋体" w:eastAsia="宋体"/>
          <w:sz w:val="22"/>
        </w:rPr>
        <w:t>工程建议三级：(1)组1场景需大幅改进——增加约16倍填料量或采用纳米填料。(2)组2场景可微调优化——通过剪切流动或电场取向使粒子沿YZ方向链化排列实现免费优化。(3)组3场景需小幅微调——增加10%填料量提升X方向可靠性至&gt;=99%。</w:t>
      </w:r>
    </w:p>
    <w:p>
      <w:pPr>
        <w:ind w:firstLine="440"/>
      </w:pPr>
      <w:r>
        <w:rPr>
          <w:rFonts w:ascii="宋体" w:hAnsi="宋体" w:eastAsia="宋体"/>
          <w:sz w:val="22"/>
        </w:rPr>
        <w:t>模型推广：PAGCM的方法论(空间索引+密度感知自适应+周期拓扑嵌入+并查集聚类)可推广至热导率逾渗、力学增强网络、多孔介质渗流、电化学离子传输网络等涉及连通性判定的广泛工程问题。三维环面上的图连通模型为周期性复合材料微观-宏观均质化提供了离散、计算可操作的桥接工具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