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200" w:before="0"/>
      </w:pPr>
      <w:r>
        <w:rPr>
          <w:b/>
          <w:sz w:val="32"/>
          <w:rFonts w:ascii="黑体" w:hAnsi="黑体" w:eastAsia="黑体"/>
        </w:rPr>
        <w:t xml:space="preserve">A题 华数杯数学建模 数据附件 全部四问汇总表</w:t>
      </w:r>
    </w:p>
    <w:p>
      <w:pPr>
        <w:spacing w:after="120" w:before="240"/>
      </w:pPr>
      <w:r>
        <w:rPr>
          <w:b/>
          <w:sz w:val="28"/>
          <w:rFonts w:ascii="黑体" w:hAnsi="黑体" w:eastAsia="黑体"/>
        </w:rPr>
        <w:t xml:space="preserve">表A-1 四问建模方案总览</w:t>
      </w:r>
    </w:p>
    <w:p>
      <w:pPr>
        <w:jc w:val="center"/>
        <w:spacing w:after="60" w:before="0"/>
      </w:pPr>
      <w:r>
        <w:rPr>
          <w:b/>
          <w:sz w:val="20"/>
          <w:rFonts w:ascii="宋体" w:hAnsi="宋体" w:eastAsia="宋体"/>
        </w:rPr>
        <w:t xml:space="preserve"/>
      </w:r>
    </w:p>
    <w:tbl>
      <w:tblPr>
        <w:tblStyle w:val="TableGrid"/>
        <w:tblW w:w="9000" w:type="dxa"/>
      </w:tblPr>
      <w:tr>
        <w:tc>
          <w:p>
            <w:pPr>
              <w:jc w:val="center"/>
              <w:spacing w:after="0" w:before="0"/>
            </w:pPr>
            <w:r>
              <w:rPr>
                <w:b/>
                <w:sz w:val="20"/>
                <w:rFonts w:ascii="宋体" w:hAnsi="宋体" w:eastAsia="宋体"/>
              </w:rPr>
              <w:t xml:space="preserve">问题</w:t>
            </w:r>
          </w:p>
        </w:tc>
        <w:tc>
          <w:p>
            <w:pPr>
              <w:jc w:val="center"/>
              <w:spacing w:after="0" w:before="0"/>
            </w:pPr>
            <w:r>
              <w:rPr>
                <w:b/>
                <w:sz w:val="20"/>
                <w:rFonts w:ascii="宋体" w:hAnsi="宋体" w:eastAsia="宋体"/>
              </w:rPr>
              <w:t xml:space="preserve">问题描述</w:t>
            </w:r>
          </w:p>
        </w:tc>
        <w:tc>
          <w:p>
            <w:pPr>
              <w:jc w:val="center"/>
              <w:spacing w:after="0" w:before="0"/>
            </w:pPr>
            <w:r>
              <w:rPr>
                <w:b/>
                <w:sz w:val="20"/>
                <w:rFonts w:ascii="宋体" w:hAnsi="宋体" w:eastAsia="宋体"/>
              </w:rPr>
              <w:t xml:space="preserve">模型名称</w:t>
            </w:r>
          </w:p>
        </w:tc>
        <w:tc>
          <w:p>
            <w:pPr>
              <w:jc w:val="center"/>
              <w:spacing w:after="0" w:before="0"/>
            </w:pPr>
            <w:r>
              <w:rPr>
                <w:b/>
                <w:sz w:val="20"/>
                <w:rFonts w:ascii="宋体" w:hAnsi="宋体" w:eastAsia="宋体"/>
              </w:rPr>
              <w:t xml:space="preserve">创新方向</w:t>
            </w:r>
          </w:p>
        </w:tc>
        <w:tc>
          <w:p>
            <w:pPr>
              <w:jc w:val="center"/>
              <w:spacing w:after="0" w:before="0"/>
            </w:pPr>
            <w:r>
              <w:rPr>
                <w:b/>
                <w:sz w:val="20"/>
                <w:rFonts w:ascii="宋体" w:hAnsi="宋体" w:eastAsia="宋体"/>
              </w:rPr>
              <w:t xml:space="preserve">核心结果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第一问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判定三方向是否导电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PAGCM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算法设计创新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6组数据集连通判定，PAGCM vs GPNM 88.9%一致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第二问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最小化填料量实现导电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MESA-PAGCM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跨领域迁移(信息论+统计物理)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4个优化目标，搜索范围[664,13290]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第三问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量化各因素对导电性影响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MS-PAGCM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算法改进(多分散+Sobol+分尺度)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ST排名: mu_r&gt;CV_r&gt;s&gt;alpha&gt;phi&gt;strategy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第四问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多目标工程设计优化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MOEA/D-PAGCM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多模型融合(PAGCM+MOEA/D+TOPSIS)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24 Pareto解，推荐N=206,P_conn=90.86%</w:t>
            </w:r>
          </w:p>
        </w:tc>
      </w:tr>
    </w:tbl>
    <w:p>
      <w:pPr>
        <w:spacing w:after="80" w:before="0"/>
      </w:pPr>
      <w:r>
        <w:rPr>
          <w:sz w:val="18"/>
          <w:rFonts w:ascii="宋体" w:hAnsi="宋体" w:eastAsia="宋体"/>
        </w:rPr>
        <w:t xml:space="preserve"/>
      </w:r>
    </w:p>
    <w:p>
      <w:pPr>
        <w:spacing w:after="120" w:before="240"/>
      </w:pPr>
      <w:r>
        <w:rPr>
          <w:b/>
          <w:sz w:val="28"/>
          <w:rFonts w:ascii="黑体" w:hAnsi="黑体" w:eastAsia="黑体"/>
        </w:rPr>
        <w:t xml:space="preserve">表A-2 Q1连通性判定结果汇总</w:t>
      </w:r>
    </w:p>
    <w:p>
      <w:pPr>
        <w:jc w:val="center"/>
        <w:spacing w:after="60" w:before="0"/>
      </w:pPr>
      <w:r>
        <w:rPr>
          <w:b/>
          <w:sz w:val="20"/>
          <w:rFonts w:ascii="宋体" w:hAnsi="宋体" w:eastAsia="宋体"/>
        </w:rPr>
        <w:t xml:space="preserve"/>
      </w:r>
    </w:p>
    <w:tbl>
      <w:tblPr>
        <w:tblStyle w:val="TableGrid"/>
        <w:tblW w:w="9000" w:type="dxa"/>
      </w:tblPr>
      <w:tr>
        <w:tc>
          <w:p>
            <w:pPr>
              <w:jc w:val="center"/>
              <w:spacing w:after="0" w:before="0"/>
            </w:pPr>
            <w:r>
              <w:rPr>
                <w:b/>
                <w:sz w:val="20"/>
                <w:rFonts w:ascii="宋体" w:hAnsi="宋体" w:eastAsia="宋体"/>
              </w:rPr>
              <w:t xml:space="preserve">数据集</w:t>
            </w:r>
          </w:p>
        </w:tc>
        <w:tc>
          <w:p>
            <w:pPr>
              <w:jc w:val="center"/>
              <w:spacing w:after="0" w:before="0"/>
            </w:pPr>
            <w:r>
              <w:rPr>
                <w:b/>
                <w:sz w:val="20"/>
                <w:rFonts w:ascii="宋体" w:hAnsi="宋体" w:eastAsia="宋体"/>
              </w:rPr>
              <w:t xml:space="preserve">N</w:t>
            </w:r>
          </w:p>
        </w:tc>
        <w:tc>
          <w:p>
            <w:pPr>
              <w:jc w:val="center"/>
              <w:spacing w:after="0" w:before="0"/>
            </w:pPr>
            <w:r>
              <w:rPr>
                <w:b/>
                <w:sz w:val="20"/>
                <w:rFonts w:ascii="宋体" w:hAnsi="宋体" w:eastAsia="宋体"/>
              </w:rPr>
              <w:t xml:space="preserve">X</w:t>
            </w:r>
          </w:p>
        </w:tc>
        <w:tc>
          <w:p>
            <w:pPr>
              <w:jc w:val="center"/>
              <w:spacing w:after="0" w:before="0"/>
            </w:pPr>
            <w:r>
              <w:rPr>
                <w:b/>
                <w:sz w:val="20"/>
                <w:rFonts w:ascii="宋体" w:hAnsi="宋体" w:eastAsia="宋体"/>
              </w:rPr>
              <w:t xml:space="preserve">Y</w:t>
            </w:r>
          </w:p>
        </w:tc>
        <w:tc>
          <w:p>
            <w:pPr>
              <w:jc w:val="center"/>
              <w:spacing w:after="0" w:before="0"/>
            </w:pPr>
            <w:r>
              <w:rPr>
                <w:b/>
                <w:sz w:val="20"/>
                <w:rFonts w:ascii="宋体" w:hAnsi="宋体" w:eastAsia="宋体"/>
              </w:rPr>
              <w:t xml:space="preserve">Z</w:t>
            </w:r>
          </w:p>
        </w:tc>
        <w:tc>
          <w:p>
            <w:pPr>
              <w:jc w:val="center"/>
              <w:spacing w:after="0" w:before="0"/>
            </w:pPr>
            <w:r>
              <w:rPr>
                <w:b/>
                <w:sz w:val="20"/>
                <w:rFonts w:ascii="宋体" w:hAnsi="宋体" w:eastAsia="宋体"/>
              </w:rPr>
              <w:t xml:space="preserve">边数</w:t>
            </w:r>
          </w:p>
        </w:tc>
        <w:tc>
          <w:p>
            <w:pPr>
              <w:jc w:val="center"/>
              <w:spacing w:after="0" w:before="0"/>
            </w:pPr>
            <w:r>
              <w:rPr>
                <w:b/>
                <w:sz w:val="20"/>
                <w:rFonts w:ascii="宋体" w:hAnsi="宋体" w:eastAsia="宋体"/>
              </w:rPr>
              <w:t xml:space="preserve">分量数</w:t>
            </w:r>
          </w:p>
        </w:tc>
        <w:tc>
          <w:p>
            <w:pPr>
              <w:jc w:val="center"/>
              <w:spacing w:after="0" w:before="0"/>
            </w:pPr>
            <w:r>
              <w:rPr>
                <w:b/>
                <w:sz w:val="20"/>
                <w:rFonts w:ascii="宋体" w:hAnsi="宋体" w:eastAsia="宋体"/>
              </w:rPr>
              <w:t xml:space="preserve">最大簇</w:t>
            </w:r>
          </w:p>
        </w:tc>
        <w:tc>
          <w:p>
            <w:pPr>
              <w:jc w:val="center"/>
              <w:spacing w:after="0" w:before="0"/>
            </w:pPr>
            <w:r>
              <w:rPr>
                <w:b/>
                <w:sz w:val="20"/>
                <w:rFonts w:ascii="宋体" w:hAnsi="宋体" w:eastAsia="宋体"/>
              </w:rPr>
              <w:t xml:space="preserve">MC_Pconn_X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组1_场景A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12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断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断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断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15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1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12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0.000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组1_场景B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12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断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断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断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16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3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7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0.000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组2_场景A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49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通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断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断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321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1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49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-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组2_场景B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49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断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断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断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306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1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49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-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组3_场景A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535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通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通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通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198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384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30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0.755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组3_场景B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535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通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通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通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173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401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19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-</w:t>
            </w:r>
          </w:p>
        </w:tc>
      </w:tr>
    </w:tbl>
    <w:p>
      <w:pPr>
        <w:spacing w:after="80" w:before="0"/>
      </w:pPr>
      <w:r>
        <w:rPr>
          <w:sz w:val="18"/>
          <w:rFonts w:ascii="宋体" w:hAnsi="宋体" w:eastAsia="宋体"/>
        </w:rPr>
        <w:t xml:space="preserve"/>
      </w:r>
    </w:p>
    <w:p>
      <w:pPr>
        <w:spacing w:after="120" w:before="240"/>
      </w:pPr>
      <w:r>
        <w:rPr>
          <w:b/>
          <w:sz w:val="28"/>
          <w:rFonts w:ascii="黑体" w:hAnsi="黑体" w:eastAsia="黑体"/>
        </w:rPr>
        <w:t xml:space="preserve">表A-3 Q2 MESA超参数配置</w:t>
      </w:r>
    </w:p>
    <w:p>
      <w:pPr>
        <w:jc w:val="center"/>
        <w:spacing w:after="60" w:before="0"/>
      </w:pPr>
      <w:r>
        <w:rPr>
          <w:b/>
          <w:sz w:val="20"/>
          <w:rFonts w:ascii="宋体" w:hAnsi="宋体" w:eastAsia="宋体"/>
        </w:rPr>
        <w:t xml:space="preserve"/>
      </w:r>
    </w:p>
    <w:tbl>
      <w:tblPr>
        <w:tblStyle w:val="TableGrid"/>
        <w:tblW w:w="9000" w:type="dxa"/>
      </w:tblPr>
      <w:tr>
        <w:tc>
          <w:p>
            <w:pPr>
              <w:jc w:val="center"/>
              <w:spacing w:after="0" w:before="0"/>
            </w:pPr>
            <w:r>
              <w:rPr>
                <w:b/>
                <w:sz w:val="20"/>
                <w:rFonts w:ascii="宋体" w:hAnsi="宋体" w:eastAsia="宋体"/>
              </w:rPr>
              <w:t xml:space="preserve">参数</w:t>
            </w:r>
          </w:p>
        </w:tc>
        <w:tc>
          <w:p>
            <w:pPr>
              <w:jc w:val="center"/>
              <w:spacing w:after="0" w:before="0"/>
            </w:pPr>
            <w:r>
              <w:rPr>
                <w:b/>
                <w:sz w:val="20"/>
                <w:rFonts w:ascii="宋体" w:hAnsi="宋体" w:eastAsia="宋体"/>
              </w:rPr>
              <w:t xml:space="preserve">默认值</w:t>
            </w:r>
          </w:p>
        </w:tc>
        <w:tc>
          <w:p>
            <w:pPr>
              <w:jc w:val="center"/>
              <w:spacing w:after="0" w:before="0"/>
            </w:pPr>
            <w:r>
              <w:rPr>
                <w:b/>
                <w:sz w:val="20"/>
                <w:rFonts w:ascii="宋体" w:hAnsi="宋体" w:eastAsia="宋体"/>
              </w:rPr>
              <w:t xml:space="preserve">范围</w:t>
            </w:r>
          </w:p>
        </w:tc>
        <w:tc>
          <w:p>
            <w:pPr>
              <w:jc w:val="center"/>
              <w:spacing w:after="0" w:before="0"/>
            </w:pPr>
            <w:r>
              <w:rPr>
                <w:b/>
                <w:sz w:val="20"/>
                <w:rFonts w:ascii="宋体" w:hAnsi="宋体" w:eastAsia="宋体"/>
              </w:rPr>
              <w:t xml:space="preserve">类型</w:t>
            </w:r>
          </w:p>
        </w:tc>
        <w:tc>
          <w:p>
            <w:pPr>
              <w:jc w:val="center"/>
              <w:spacing w:after="0" w:before="0"/>
            </w:pPr>
            <w:r>
              <w:rPr>
                <w:b/>
                <w:sz w:val="20"/>
                <w:rFonts w:ascii="宋体" w:hAnsi="宋体" w:eastAsia="宋体"/>
              </w:rPr>
              <w:t xml:space="preserve">取值依据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T0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50.0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[10,100]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待校准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保证初始接受率约0.8 (Kirkpatrick,1983)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gamma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0.95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[0.85,0.99]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待校准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166轮降温，收敛与计算平衡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T_min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0.01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[0.001,0.1]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已知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T0/5000，搜索冻结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lambda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2.0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[0.5,5.0]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待校准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连通惩罚权重=成本权重的2倍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M0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100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[50,500]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已知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100x166x5=83k评估，约67min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P_target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0.95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[0.80,0.99]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工程假设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IPC-4101导通率标准&gt;=95%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beta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0.70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[0.50,0.90]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已知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MaxEnt均匀性与随机性平衡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sigma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0.05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[0.01,0.15]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已知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扰动约1个粒子直径(500单位)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n_restarts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5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[3,10]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已知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&gt;=3次可统计验证一致性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K_conv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20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[10,50]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已知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连续20轮无改善判定收敛</w:t>
            </w:r>
          </w:p>
        </w:tc>
      </w:tr>
    </w:tbl>
    <w:p>
      <w:pPr>
        <w:spacing w:after="80" w:before="0"/>
      </w:pPr>
      <w:r>
        <w:rPr>
          <w:sz w:val="18"/>
          <w:rFonts w:ascii="宋体" w:hAnsi="宋体" w:eastAsia="宋体"/>
        </w:rPr>
        <w:t xml:space="preserve"/>
      </w:r>
    </w:p>
    <w:p>
      <w:pPr>
        <w:spacing w:after="120" w:before="240"/>
      </w:pPr>
      <w:r>
        <w:rPr>
          <w:b/>
          <w:sz w:val="28"/>
          <w:rFonts w:ascii="黑体" w:hAnsi="黑体" w:eastAsia="黑体"/>
        </w:rPr>
        <w:t xml:space="preserve">表A-4 Q3 Sobol敏感性指数详细结果</w:t>
      </w:r>
    </w:p>
    <w:p>
      <w:pPr>
        <w:jc w:val="center"/>
        <w:spacing w:after="60" w:before="0"/>
      </w:pPr>
      <w:r>
        <w:rPr>
          <w:b/>
          <w:sz w:val="20"/>
          <w:rFonts w:ascii="宋体" w:hAnsi="宋体" w:eastAsia="宋体"/>
        </w:rPr>
        <w:t xml:space="preserve"/>
      </w:r>
    </w:p>
    <w:tbl>
      <w:tblPr>
        <w:tblStyle w:val="TableGrid"/>
        <w:tblW w:w="9000" w:type="dxa"/>
      </w:tblPr>
      <w:tr>
        <w:tc>
          <w:p>
            <w:pPr>
              <w:jc w:val="center"/>
              <w:spacing w:after="0" w:before="0"/>
            </w:pPr>
            <w:r>
              <w:rPr>
                <w:b/>
                <w:sz w:val="20"/>
                <w:rFonts w:ascii="宋体" w:hAnsi="宋体" w:eastAsia="宋体"/>
              </w:rPr>
              <w:t xml:space="preserve">参数</w:t>
            </w:r>
          </w:p>
        </w:tc>
        <w:tc>
          <w:p>
            <w:pPr>
              <w:jc w:val="center"/>
              <w:spacing w:after="0" w:before="0"/>
            </w:pPr>
            <w:r>
              <w:rPr>
                <w:b/>
                <w:sz w:val="20"/>
                <w:rFonts w:ascii="宋体" w:hAnsi="宋体" w:eastAsia="宋体"/>
              </w:rPr>
              <w:t xml:space="preserve">S1</w:t>
            </w:r>
          </w:p>
        </w:tc>
        <w:tc>
          <w:p>
            <w:pPr>
              <w:jc w:val="center"/>
              <w:spacing w:after="0" w:before="0"/>
            </w:pPr>
            <w:r>
              <w:rPr>
                <w:b/>
                <w:sz w:val="20"/>
                <w:rFonts w:ascii="宋体" w:hAnsi="宋体" w:eastAsia="宋体"/>
              </w:rPr>
              <w:t xml:space="preserve">ST</w:t>
            </w:r>
          </w:p>
        </w:tc>
        <w:tc>
          <w:p>
            <w:pPr>
              <w:jc w:val="center"/>
              <w:spacing w:after="0" w:before="0"/>
            </w:pPr>
            <w:r>
              <w:rPr>
                <w:b/>
                <w:sz w:val="20"/>
                <w:rFonts w:ascii="宋体" w:hAnsi="宋体" w:eastAsia="宋体"/>
              </w:rPr>
              <w:t xml:space="preserve">交互</w:t>
            </w:r>
          </w:p>
        </w:tc>
        <w:tc>
          <w:p>
            <w:pPr>
              <w:jc w:val="center"/>
              <w:spacing w:after="0" w:before="0"/>
            </w:pPr>
            <w:r>
              <w:rPr>
                <w:b/>
                <w:sz w:val="20"/>
                <w:rFonts w:ascii="宋体" w:hAnsi="宋体" w:eastAsia="宋体"/>
              </w:rPr>
              <w:t xml:space="preserve">S1_CI_lo</w:t>
            </w:r>
          </w:p>
        </w:tc>
        <w:tc>
          <w:p>
            <w:pPr>
              <w:jc w:val="center"/>
              <w:spacing w:after="0" w:before="0"/>
            </w:pPr>
            <w:r>
              <w:rPr>
                <w:b/>
                <w:sz w:val="20"/>
                <w:rFonts w:ascii="宋体" w:hAnsi="宋体" w:eastAsia="宋体"/>
              </w:rPr>
              <w:t xml:space="preserve">S1_CI_hi</w:t>
            </w:r>
          </w:p>
        </w:tc>
        <w:tc>
          <w:p>
            <w:pPr>
              <w:jc w:val="center"/>
              <w:spacing w:after="0" w:before="0"/>
            </w:pPr>
            <w:r>
              <w:rPr>
                <w:b/>
                <w:sz w:val="20"/>
                <w:rFonts w:ascii="宋体" w:hAnsi="宋体" w:eastAsia="宋体"/>
              </w:rPr>
              <w:t xml:space="preserve">ST_CI_lo</w:t>
            </w:r>
          </w:p>
        </w:tc>
        <w:tc>
          <w:p>
            <w:pPr>
              <w:jc w:val="center"/>
              <w:spacing w:after="0" w:before="0"/>
            </w:pPr>
            <w:r>
              <w:rPr>
                <w:b/>
                <w:sz w:val="20"/>
                <w:rFonts w:ascii="宋体" w:hAnsi="宋体" w:eastAsia="宋体"/>
              </w:rPr>
              <w:t xml:space="preserve">ST_CI_hi</w:t>
            </w:r>
          </w:p>
        </w:tc>
        <w:tc>
          <w:p>
            <w:pPr>
              <w:jc w:val="center"/>
              <w:spacing w:after="0" w:before="0"/>
            </w:pPr>
            <w:r>
              <w:rPr>
                <w:b/>
                <w:sz w:val="20"/>
                <w:rFonts w:ascii="宋体" w:hAnsi="宋体" w:eastAsia="宋体"/>
              </w:rPr>
              <w:t xml:space="preserve">OAT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mu_r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0.080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1.000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0.959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0.045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0.115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0.992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1.000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0.137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CV_r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0.054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0.960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0.965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0.028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0.082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0.933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0.980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0.087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s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0.062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0.934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0.949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0.035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0.092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0.894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0.960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0.192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alpha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0.069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0.903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0.929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0.040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0.100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0.850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0.940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0.037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phi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0.854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0.877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0.102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0.810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0.892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0.840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0.910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0.350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strategy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0.035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0.442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0.495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0.015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0.058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0.380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0.510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0.097</w:t>
            </w:r>
          </w:p>
        </w:tc>
      </w:tr>
    </w:tbl>
    <w:p>
      <w:pPr>
        <w:spacing w:after="80" w:before="0"/>
      </w:pPr>
      <w:r>
        <w:rPr>
          <w:sz w:val="18"/>
          <w:rFonts w:ascii="宋体" w:hAnsi="宋体" w:eastAsia="宋体"/>
        </w:rPr>
        <w:t xml:space="preserve"/>
      </w:r>
    </w:p>
    <w:p>
      <w:pPr>
        <w:spacing w:after="120" w:before="240"/>
      </w:pPr>
      <w:r>
        <w:rPr>
          <w:b/>
          <w:sz w:val="28"/>
          <w:rFonts w:ascii="黑体" w:hAnsi="黑体" w:eastAsia="黑体"/>
        </w:rPr>
        <w:t xml:space="preserve">表A-5 Q4 MOEA/D-PAGCM结果</w:t>
      </w:r>
    </w:p>
    <w:p>
      <w:pPr>
        <w:jc w:val="center"/>
        <w:spacing w:after="60" w:before="0"/>
      </w:pPr>
      <w:r>
        <w:rPr>
          <w:b/>
          <w:sz w:val="20"/>
          <w:rFonts w:ascii="宋体" w:hAnsi="宋体" w:eastAsia="宋体"/>
        </w:rPr>
        <w:t xml:space="preserve"/>
      </w:r>
    </w:p>
    <w:tbl>
      <w:tblPr>
        <w:tblStyle w:val="TableGrid"/>
        <w:tblW w:w="9000" w:type="dxa"/>
      </w:tblPr>
      <w:tr>
        <w:tc>
          <w:p>
            <w:pPr>
              <w:jc w:val="center"/>
              <w:spacing w:after="0" w:before="0"/>
            </w:pPr>
            <w:r>
              <w:rPr>
                <w:b/>
                <w:sz w:val="20"/>
                <w:rFonts w:ascii="宋体" w:hAnsi="宋体" w:eastAsia="宋体"/>
              </w:rPr>
              <w:t xml:space="preserve">指标</w:t>
            </w:r>
          </w:p>
        </w:tc>
        <w:tc>
          <w:p>
            <w:pPr>
              <w:jc w:val="center"/>
              <w:spacing w:after="0" w:before="0"/>
            </w:pPr>
            <w:r>
              <w:rPr>
                <w:b/>
                <w:sz w:val="20"/>
                <w:rFonts w:ascii="宋体" w:hAnsi="宋体" w:eastAsia="宋体"/>
              </w:rPr>
              <w:t xml:space="preserve">值</w:t>
            </w:r>
          </w:p>
        </w:tc>
        <w:tc>
          <w:p>
            <w:pPr>
              <w:jc w:val="center"/>
              <w:spacing w:after="0" w:before="0"/>
            </w:pPr>
            <w:r>
              <w:rPr>
                <w:b/>
                <w:sz w:val="20"/>
                <w:rFonts w:ascii="宋体" w:hAnsi="宋体" w:eastAsia="宋体"/>
              </w:rPr>
              <w:t xml:space="preserve">说明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N_pop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50/100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种群规模(演示/论文)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G_max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50/200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进化代数(演示/论文)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Pareto解数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24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非支配前沿规模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可行解比例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100%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约束满足度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TOPSIS推荐N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206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最优粒子数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推荐P_conn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90.86%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导电可靠性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推荐填充率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2.2%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体积分数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推荐模量保持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95.7%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E/E0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推荐形状因子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1.94(棒状)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约2倍长径比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推荐排布策略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1(链状)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链状排列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熵权-导电性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0.409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方差最大，分辨度最高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熵权-成本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0.213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中等分辨度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熵权-重量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0.189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与力学相同权重</w:t>
            </w:r>
          </w:p>
        </w:tc>
      </w:tr>
      <w:tr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熵权-力学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0.189</w:t>
            </w:r>
          </w:p>
        </w:tc>
        <w:tc>
          <w:p>
            <w:pPr>
              <w:jc w:val="center"/>
              <w:spacing w:after="0" w:before="0"/>
            </w:pPr>
            <w:r>
              <w:rPr>
                <w:sz w:val="20"/>
                <w:rFonts w:ascii="宋体" w:hAnsi="宋体" w:eastAsia="宋体"/>
              </w:rPr>
              <w:t xml:space="preserve">与重量相同权重</w:t>
            </w:r>
          </w:p>
        </w:tc>
      </w:tr>
    </w:tbl>
    <w:p>
      <w:pPr>
        <w:spacing w:after="80" w:before="0"/>
      </w:pPr>
      <w:r>
        <w:rPr>
          <w:sz w:val="18"/>
          <w:rFonts w:ascii="宋体" w:hAnsi="宋体" w:eastAsia="宋体"/>
        </w:rPr>
        <w:t xml:space="preserve"/>
      </w:r>
    </w:p>
  </w:body>
</w:document>
</file>

<file path=word/_rels/document.xml.rels><?xml version="1.0" encoding="UTF-8" standalone="yes"?>
<Relationships xmlns="http://schemas.openxmlformats.org/package/2006/relationships">
</Relationships>
</file>