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<w:p><w:pPr><w:jc w:val="center"/><w:spacing w:after="200" w:before="0"/></w:pPr><w:r><w:rPr><w:b/><w:sz w:val="32"/><w:rFonts w:ascii="黑体" w:hAnsi="黑体" w:eastAsia="黑体"/></w:rPr><w:t xml:space="preserve">第一问 PAGCM 周期边界自适应图连通判定模型 完整建模报告</w:t></w:r></w:p><w:p><w:pPr><w:spacing w:after="120" w:before="240"/></w:pPr><w:r><w:rPr><w:b/><w:sz w:val="28"/><w:rFonts w:ascii="黑体" w:hAnsi="黑体" w:eastAsia="黑体"/></w:rPr><w:t xml:space="preserve">模块一：模型建立与公式推导</w:t></w:r></w:p><w:p><w:pPr><w:spacing w:after="80" w:before="160"/></w:pPr><w:r><w:rPr><w:b/><w:sz w:val="24"/><w:rFonts w:ascii="黑体" w:hAnsi="黑体" w:eastAsia="黑体"/></w:rPr><w:t xml:space="preserve">1.1 变量定义三线表</w:t></w:r></w:p><w:p><w:pPr><w:jc w:val="center"/><w:spacing w:after="60" w:before="0"/></w:pPr><w:r><w:rPr><w:b/><w:sz w:val="20"/><w:rFonts w:ascii="宋体" w:hAnsi="宋体" w:eastAsia="宋体"/></w:rPr><w:t xml:space="preserve">表1-1 PAGCM模型变量定义三线表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变量符号</w:t></w:r></w:p></w:tc><w:tc><w:p><w:pPr><w:jc w:val="center"/><w:spacing w:after="0" w:before="0"/></w:pPr><w:r><w:rPr><w:b/><w:sz w:val="20"/><w:rFonts w:ascii="宋体" w:hAnsi="宋体" w:eastAsia="宋体"/></w:rPr><w:t xml:space="preserve">变量名称</w:t></w:r></w:p></w:tc><w:tc><w:p><w:pPr><w:jc w:val="center"/><w:spacing w:after="0" w:before="0"/></w:pPr><w:r><w:rPr><w:b/><w:sz w:val="20"/><w:rFonts w:ascii="宋体" w:hAnsi="宋体" w:eastAsia="宋体"/></w:rPr><w:t xml:space="preserve">变量类型</w:t></w:r></w:p></w:tc><w:tc><w:p><w:pPr><w:jc w:val="center"/><w:spacing w:after="0" w:before="0"/></w:pPr><w:r><w:rPr><w:b/><w:sz w:val="20"/><w:rFonts w:ascii="宋体" w:hAnsi="宋体" w:eastAsia="宋体"/></w:rPr><w:t xml:space="preserve">单位</w:t></w:r></w:p></w:tc><w:tc><w:p><w:pPr><w:jc w:val="center"/><w:spacing w:after="0" w:before="0"/></w:pPr><w:r><w:rPr><w:b/><w:sz w:val="20"/><w:rFonts w:ascii="宋体" w:hAnsi="宋体" w:eastAsia="宋体"/></w:rPr><w:t xml:space="preserve">取值范围</w:t></w:r></w:p></w:tc><w:tc><w:p><w:pPr><w:jc w:val="center"/><w:spacing w:after="0" w:before="0"/></w:pPr><w:r><w:rPr><w:b/><w:sz w:val="20"/><w:rFonts w:ascii="宋体" w:hAnsi="宋体" w:eastAsia="宋体"/></w:rPr><w:t xml:space="preserve">现实场景含义</w:t></w:r></w:p></w:tc></w:tr><w:tr><w:tc><w:p><w:pPr><w:jc w:val="center"/><w:spacing w:after="0" w:before="0"/></w:pPr><w:r><w:rPr><w:sz w:val="20"/><w:rFonts w:ascii="宋体" w:hAnsi="宋体" w:eastAsia="宋体"/></w:rPr><w:t xml:space="preserve">p_i=(x_i,y_i,z_i)</w:t></w:r></w:p></w:tc><w:tc><w:p><w:pPr><w:jc w:val="center"/><w:spacing w:after="0" w:before="0"/></w:pPr><w:r><w:rPr><w:sz w:val="20"/><w:rFonts w:ascii="宋体" w:hAnsi="宋体" w:eastAsia="宋体"/></w:rPr><w:t xml:space="preserve">粒子中心坐标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坐标系单位</w:t></w:r></w:p></w:tc><w:tc><w:p><w:pPr><w:jc w:val="center"/><w:spacing w:after="0" w:before="0"/></w:pPr><w:r><w:rPr><w:sz w:val="20"/><w:rFonts w:ascii="宋体" w:hAnsi="宋体" w:eastAsia="宋体"/></w:rPr><w:t xml:space="preserve">[-5000,5000]³</w:t></w:r></w:p></w:tc><w:tc><w:p><w:pPr><w:jc w:val="center"/><w:spacing w:after="0" w:before="0"/></w:pPr><w:r><w:rPr><w:sz w:val="20"/><w:rFonts w:ascii="宋体" w:hAnsi="宋体" w:eastAsia="宋体"/></w:rPr><w:t xml:space="preserve">导电填料在RVE中的空间位置</w:t></w:r></w:p></w:tc></w:tr><w:tr><w:tc><w:p><w:pPr><w:jc w:val="center"/><w:spacing w:after="0" w:before="0"/></w:pPr><w:r><w:rPr><w:sz w:val="20"/><w:rFonts w:ascii="宋体" w:hAnsi="宋体" w:eastAsia="宋体"/></w:rPr><w:t xml:space="preserve">N</w:t></w:r></w:p></w:tc><w:tc><w:p><w:pPr><w:jc w:val="center"/><w:spacing w:after="0" w:before="0"/></w:pPr><w:r><w:rPr><w:sz w:val="20"/><w:rFonts w:ascii="宋体" w:hAnsi="宋体" w:eastAsia="宋体"/></w:rPr><w:t xml:space="preserve">粒子总数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个</w:t></w:r></w:p></w:tc><w:tc><w:p><w:pPr><w:jc w:val="center"/><w:spacing w:after="0" w:before="0"/></w:pPr><w:r><w:rPr><w:sz w:val="20"/><w:rFonts w:ascii="宋体" w:hAnsi="宋体" w:eastAsia="宋体"/></w:rPr><w:t xml:space="preserve">{12,49,535}</w:t></w:r></w:p></w:tc><w:tc><w:p><w:pPr><w:jc w:val="center"/><w:spacing w:after="0" w:before="0"/></w:pPr><w:r><w:rPr><w:sz w:val="20"/><w:rFonts w:ascii="宋体" w:hAnsi="宋体" w:eastAsia="宋体"/></w:rPr><w:t xml:space="preserve">微构体中填料粒子数量</w:t></w:r></w:p></w:tc></w:tr><w:tr><w:tc><w:p><w:pPr><w:jc w:val="center"/><w:spacing w:after="0" w:before="0"/></w:pPr><w:r><w:rPr><w:sz w:val="20"/><w:rFonts w:ascii="宋体" w:hAnsi="宋体" w:eastAsia="宋体"/></w:rPr><w:t xml:space="preserve">L</w:t></w:r></w:p></w:tc><w:tc><w:p><w:pPr><w:jc w:val="center"/><w:spacing w:after="0" w:before="0"/></w:pPr><w:r><w:rPr><w:sz w:val="20"/><w:rFonts w:ascii="宋体" w:hAnsi="宋体" w:eastAsia="宋体"/></w:rPr><w:t xml:space="preserve">RVE边长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坐标系单位</w:t></w:r></w:p></w:tc><w:tc><w:p><w:pPr><w:jc w:val="center"/><w:spacing w:after="0" w:before="0"/></w:pPr><w:r><w:rPr><w:sz w:val="20"/><w:rFonts w:ascii="宋体" w:hAnsi="宋体" w:eastAsia="宋体"/></w:rPr><w:t xml:space="preserve">10000</w:t></w:r></w:p></w:tc><w:tc><w:p><w:pPr><w:jc w:val="center"/><w:spacing w:after="0" w:before="0"/></w:pPr><w:r><w:rPr><w:sz w:val="20"/><w:rFonts w:ascii="宋体" w:hAnsi="宋体" w:eastAsia="宋体"/></w:rPr><w:t xml:space="preserve">代表体积单元立方体边长</w:t></w:r></w:p></w:tc></w:tr><w:tr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粒子基础几何半径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坐标系单位</w:t></w:r></w:p></w:tc><w:tc><w:p><w:pPr><w:jc w:val="center"/><w:spacing w:after="0" w:before="0"/></w:pPr><w:r><w:rPr><w:sz w:val="20"/><w:rFonts w:ascii="宋体" w:hAnsi="宋体" w:eastAsia="宋体"/></w:rPr><w:t xml:space="preserve">[50,500]</w:t></w:r></w:p></w:tc><w:tc><w:p><w:pPr><w:jc w:val="center"/><w:spacing w:after="0" w:before="0"/></w:pPr><w:r><w:rPr><w:sz w:val="20"/><w:rFonts w:ascii="宋体" w:hAnsi="宋体" w:eastAsia="宋体"/></w:rPr><w:t xml:space="preserve">导电填料物理半径，需标定</w:t></w:r></w:p></w:tc></w:tr><w:tr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自适应强度系数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无量纲</w:t></w:r></w:p></w:tc><w:tc><w:p><w:pPr><w:jc w:val="center"/><w:spacing w:after="0" w:before="0"/></w:pPr><w:r><w:rPr><w:sz w:val="20"/><w:rFonts w:ascii="宋体" w:hAnsi="宋体" w:eastAsia="宋体"/></w:rPr><w:t xml:space="preserve">[0,2]</w:t></w:r></w:p></w:tc><w:tc><w:p><w:pPr><w:jc w:val="center"/><w:spacing w:after="0" w:before="0"/></w:pPr><w:r><w:rPr><w:sz w:val="20"/><w:rFonts w:ascii="宋体" w:hAnsi="宋体" w:eastAsia="宋体"/></w:rPr><w:t xml:space="preserve">控制密度感知对等效半径的调节强度</w:t></w:r></w:p></w:tc></w:tr><w:tr><w:tc><w:p><w:pPr><w:jc w:val="center"/><w:spacing w:after="0" w:before="0"/></w:pPr><w:r><w:rPr><w:sz w:val="20"/><w:rFonts w:ascii="宋体" w:hAnsi="宋体" w:eastAsia="宋体"/></w:rPr><w:t xml:space="preserve">R_search</w:t></w:r></w:p></w:tc><w:tc><w:p><w:pPr><w:jc w:val="center"/><w:spacing w:after="0" w:before="0"/></w:pPr><w:r><w:rPr><w:sz w:val="20"/><w:rFonts w:ascii="宋体" w:hAnsi="宋体" w:eastAsia="宋体"/></w:rPr><w:t xml:space="preserve">局部密度搜索半径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坐标系单位</w:t></w:r></w:p></w:tc><w:tc><w:p><w:pPr><w:jc w:val="center"/><w:spacing w:after="0" w:before="0"/></w:pPr><w:r><w:rPr><w:sz w:val="20"/><w:rFonts w:ascii="宋体" w:hAnsi="宋体" w:eastAsia="宋体"/></w:rPr><w:t xml:space="preserve">1500</w:t></w:r></w:p></w:tc><w:tc><w:p><w:pPr><w:jc w:val="center"/><w:spacing w:after="0" w:before="0"/></w:pPr><w:r><w:rPr><w:sz w:val="20"/><w:rFonts w:ascii="宋体" w:hAnsi="宋体" w:eastAsia="宋体"/></w:rPr><w:t xml:space="preserve">估算局部数密度时的球形搜索域半径</w:t></w:r></w:p></w:tc></w:tr><w:tr><w:tc><w:p><w:pPr><w:jc w:val="center"/><w:spacing w:after="0" w:before="0"/></w:pPr><w:r><w:rPr><w:sz w:val="20"/><w:rFonts w:ascii="宋体" w:hAnsi="宋体" w:eastAsia="宋体"/></w:rPr><w:t xml:space="preserve">rho_global</w:t></w:r></w:p></w:tc><w:tc><w:p><w:pPr><w:jc w:val="center"/><w:spacing w:after="0" w:before="0"/></w:pPr><w:r><w:rPr><w:sz w:val="20"/><w:rFonts w:ascii="宋体" w:hAnsi="宋体" w:eastAsia="宋体"/></w:rPr><w:t xml:space="preserve">全局平均数密度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L^(-3)</w:t></w:r></w:p></w:tc><w:tc><w:p><w:pPr><w:jc w:val="center"/><w:spacing w:after="0" w:before="0"/></w:pPr><w:r><w:rPr><w:sz w:val="20"/><w:rFonts w:ascii="宋体" w:hAnsi="宋体" w:eastAsia="宋体"/></w:rPr><w:t xml:space="preserve">N/L^3</w:t></w:r></w:p></w:tc><w:tc><w:p><w:pPr><w:jc w:val="center"/><w:spacing w:after="0" w:before="0"/></w:pPr><w:r><w:rPr><w:sz w:val="20"/><w:rFonts w:ascii="宋体" w:hAnsi="宋体" w:eastAsia="宋体"/></w:rPr><w:t xml:space="preserve">RVE内粒子平均空间密度</w:t></w:r></w:p></w:tc></w:tr><w:tr><w:tc><w:p><w:pPr><w:jc w:val="center"/><w:spacing w:after="0" w:before="0"/></w:pPr><w:r><w:rPr><w:sz w:val="20"/><w:rFonts w:ascii="宋体" w:hAnsi="宋体" w:eastAsia="宋体"/></w:rPr><w:t xml:space="preserve">rho_local(i)</w:t></w:r></w:p></w:tc><w:tc><w:p><w:pPr><w:jc w:val="center"/><w:spacing w:after="0" w:before="0"/></w:pPr><w:r><w:rPr><w:sz w:val="20"/><w:rFonts w:ascii="宋体" w:hAnsi="宋体" w:eastAsia="宋体"/></w:rPr><w:t xml:space="preserve">粒子i局部数密度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L^(-3)</w:t></w:r></w:p></w:tc><w:tc><w:p><w:pPr><w:jc w:val="center"/><w:spacing w:after="0" w:before="0"/></w:pPr><w:r><w:rPr><w:sz w:val="20"/><w:rFonts w:ascii="宋体" w:hAnsi="宋体" w:eastAsia="宋体"/></w:rPr><w:t xml:space="preserve">[0,+inf)</w:t></w:r></w:p></w:tc><w:tc><w:p><w:pPr><w:jc w:val="center"/><w:spacing w:after="0" w:before="0"/></w:pPr><w:r><w:rPr><w:sz w:val="20"/><w:rFonts w:ascii="宋体" w:hAnsi="宋体" w:eastAsia="宋体"/></w:rPr><w:t xml:space="preserve">搜索半径内近邻粒子数密度</w:t></w:r></w:p></w:tc></w:tr><w:tr><w:tc><w:p><w:pPr><w:jc w:val="center"/><w:spacing w:after="0" w:before="0"/></w:pPr><w:r><w:rPr><w:sz w:val="20"/><w:rFonts w:ascii="宋体" w:hAnsi="宋体" w:eastAsia="宋体"/></w:rPr><w:t xml:space="preserve">ri_eff</w:t></w:r></w:p></w:tc><w:tc><w:p><w:pPr><w:jc w:val="center"/><w:spacing w:after="0" w:before="0"/></w:pPr><w:r><w:rPr><w:sz w:val="20"/><w:rFonts w:ascii="宋体" w:hAnsi="宋体" w:eastAsia="宋体"/></w:rPr><w:t xml:space="preserve">密度感知等效半径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坐标系单位</w:t></w:r></w:p></w:tc><w:tc><w:p><w:pPr><w:jc w:val="center"/><w:spacing w:after="0" w:before="0"/></w:pPr><w:r><w:rPr><w:sz w:val="20"/><w:rFonts w:ascii="宋体" w:hAnsi="宋体" w:eastAsia="宋体"/></w:rPr><w:t xml:space="preserve">[0.5r0,3r0]</w:t></w:r></w:p></w:tc><w:tc><w:p><w:pPr><w:jc w:val="center"/><w:spacing w:after="0" w:before="0"/></w:pPr><w:r><w:rPr><w:sz w:val="20"/><w:rFonts w:ascii="宋体" w:hAnsi="宋体" w:eastAsia="宋体"/></w:rPr><w:t xml:space="preserve">经局部密度修正的有效作用半径</w:t></w:r></w:p></w:tc></w:tr><w:tr><w:tc><w:p><w:pPr><w:jc w:val="center"/><w:spacing w:after="0" w:before="0"/></w:pPr><w:r><w:rPr><w:sz w:val="20"/><w:rFonts w:ascii="宋体" w:hAnsi="宋体" w:eastAsia="宋体"/></w:rPr><w:t xml:space="preserve">d_T(pi,pj)</w:t></w:r></w:p></w:tc><w:tc><w:p><w:pPr><w:jc w:val="center"/><w:spacing w:after="0" w:before="0"/></w:pPr><w:r><w:rPr><w:sz w:val="20"/><w:rFonts w:ascii="宋体" w:hAnsi="宋体" w:eastAsia="宋体"/></w:rPr><w:t xml:space="preserve">环面距离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坐标系单位</w:t></w:r></w:p></w:tc><w:tc><w:p><w:pPr><w:jc w:val="center"/><w:spacing w:after="0" w:before="0"/></w:pPr><w:r><w:rPr><w:sz w:val="20"/><w:rFonts w:ascii="宋体" w:hAnsi="宋体" w:eastAsia="宋体"/></w:rPr><w:t xml:space="preserve">[0,L*root3/2]</w:t></w:r></w:p></w:tc><w:tc><w:p><w:pPr><w:jc w:val="center"/><w:spacing w:after="0" w:before="0"/></w:pPr><w:r><w:rPr><w:sz w:val="20"/><w:rFonts w:ascii="宋体" w:hAnsi="宋体" w:eastAsia="宋体"/></w:rPr><w:t xml:space="preserve">周期边界下两粒子最短距离</w:t></w:r></w:p></w:tc></w:tr><w:tr><w:tc><w:p><w:pPr><w:jc w:val="center"/><w:spacing w:after="0" w:before="0"/></w:pPr><w:r><w:rPr><w:sz w:val="20"/><w:rFonts w:ascii="宋体" w:hAnsi="宋体" w:eastAsia="宋体"/></w:rPr><w:t xml:space="preserve">k_ij</w:t></w:r></w:p></w:tc><w:tc><w:p><w:pPr><w:jc w:val="center"/><w:spacing w:after="0" w:before="0"/></w:pPr><w:r><w:rPr><w:sz w:val="20"/><w:rFonts w:ascii="宋体" w:hAnsi="宋体" w:eastAsia="宋体"/></w:rPr><w:t xml:space="preserve">周期偏移矢量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Z^3</w:t></w:r></w:p></w:tc><w:tc><w:p><w:pPr><w:jc w:val="center"/><w:spacing w:after="0" w:before="0"/></w:pPr><w:r><w:rPr><w:sz w:val="20"/><w:rFonts w:ascii="宋体" w:hAnsi="宋体" w:eastAsia="宋体"/></w:rPr><w:t xml:space="preserve">{-1,0,+1}^3</w:t></w:r></w:p></w:tc><w:tc><w:p><w:pPr><w:jc w:val="center"/><w:spacing w:after="0" w:before="0"/></w:pPr><w:r><w:rPr><w:sz w:val="20"/><w:rFonts w:ascii="宋体" w:hAnsi="宋体" w:eastAsia="宋体"/></w:rPr><w:t xml:space="preserve">边(i,j)跨越周期边界的次数和方向</w:t></w:r></w:p></w:tc></w:tr><w:tr><w:tc><w:p><w:pPr><w:jc w:val="center"/><w:spacing w:after="0" w:before="0"/></w:pPr><w:r><w:rPr><w:sz w:val="20"/><w:rFonts w:ascii="宋体" w:hAnsi="宋体" w:eastAsia="宋体"/></w:rPr><w:t xml:space="preserve">G=(V,E)</w:t></w:r></w:p></w:tc><w:tc><w:p><w:pPr><w:jc w:val="center"/><w:spacing w:after="0" w:before="0"/></w:pPr><w:r><w:rPr><w:sz w:val="20"/><w:rFonts w:ascii="宋体" w:hAnsi="宋体" w:eastAsia="宋体"/></w:rPr><w:t xml:space="preserve">周期图</w:t></w:r></w:p></w:tc><w:tc><w:p><w:pPr><w:jc w:val="center"/><w:spacing w:after="0" w:before="0"/></w:pPr><w:r><w:rPr><w:sz w:val="20"/><w:rFonts w:ascii="宋体" w:hAnsi="宋体" w:eastAsia="宋体"/></w:rPr><w:t xml:space="preserve">决策变量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|V|=N,|E|可变</w:t></w:r></w:p></w:tc><w:tc><w:p><w:pPr><w:jc w:val="center"/><w:spacing w:after="0" w:before="0"/></w:pPr><w:r><w:rPr><w:sz w:val="20"/><w:rFonts w:ascii="宋体" w:hAnsi="宋体" w:eastAsia="宋体"/></w:rPr><w:t xml:space="preserve">定义在3-环面T^3上的无向图</w:t></w:r></w:p></w:tc></w:tr><w:tr><w:tc><w:p><w:pPr><w:jc w:val="center"/><w:spacing w:after="0" w:before="0"/></w:pPr><w:r><w:rPr><w:sz w:val="20"/><w:rFonts w:ascii="宋体" w:hAnsi="宋体" w:eastAsia="宋体"/></w:rPr><w:t xml:space="preserve">C_k</w:t></w:r></w:p></w:tc><w:tc><w:p><w:pPr><w:jc w:val="center"/><w:spacing w:after="0" w:before="0"/></w:pPr><w:r><w:rPr><w:sz w:val="20"/><w:rFonts w:ascii="宋体" w:hAnsi="宋体" w:eastAsia="宋体"/></w:rPr><w:t xml:space="preserve">第k个连通分量</w:t></w:r></w:p></w:tc><w:tc><w:p><w:pPr><w:jc w:val="center"/><w:spacing w:after="0" w:before="0"/></w:pPr><w:r><w:rPr><w:sz w:val="20"/><w:rFonts w:ascii="宋体" w:hAnsi="宋体" w:eastAsia="宋体"/></w:rPr><w:t xml:space="preserve">决策变量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|Ck| in [1,N]</w:t></w:r></w:p></w:tc><w:tc><w:p><w:pPr><w:jc w:val="center"/><w:spacing w:after="0" w:before="0"/></w:pPr><w:r><w:rPr><w:sz w:val="20"/><w:rFonts w:ascii="宋体" w:hAnsi="宋体" w:eastAsia="宋体"/></w:rPr><w:t xml:space="preserve">图的极大连通子图</w:t></w:r></w:p></w:tc></w:tr><w:tr><w:tc><w:p><w:pPr><w:jc w:val="center"/><w:spacing w:after="0" w:before="0"/></w:pPr><w:r><w:rPr><w:sz w:val="20"/><w:rFonts w:ascii="宋体" w:hAnsi="宋体" w:eastAsia="宋体"/></w:rPr><w:t xml:space="preserve">conn_dir</w:t></w:r></w:p></w:tc><w:tc><w:p><w:pPr><w:jc w:val="center"/><w:spacing w:after="0" w:before="0"/></w:pPr><w:r><w:rPr><w:sz w:val="20"/><w:rFonts w:ascii="宋体" w:hAnsi="宋体" w:eastAsia="宋体"/></w:rPr><w:t xml:space="preserve">方向性连通判定</w:t></w:r></w:p></w:tc><w:tc><w:p><w:pPr><w:jc w:val="center"/><w:spacing w:after="0" w:before="0"/></w:pPr><w:r><w:rPr><w:sz w:val="20"/><w:rFonts w:ascii="宋体" w:hAnsi="宋体" w:eastAsia="宋体"/></w:rPr><w:t xml:space="preserve">目标变量</w:t></w:r></w:p></w:tc><w:tc><w:p><w:pPr><w:jc w:val="center"/><w:spacing w:after="0" w:before="0"/></w:pPr><w:r><w:rPr><w:sz w:val="20"/><w:rFonts w:ascii="宋体" w:hAnsi="宋体" w:eastAsia="宋体"/></w:rPr><w:t xml:space="preserve">布尔</w:t></w:r></w:p></w:tc><w:tc><w:p><w:pPr><w:jc w:val="center"/><w:spacing w:after="0" w:before="0"/></w:pPr><w:r><w:rPr><w:sz w:val="20"/><w:rFonts w:ascii="宋体" w:hAnsi="宋体" w:eastAsia="宋体"/></w:rPr><w:t xml:space="preserve">{0,1}</w:t></w:r></w:p></w:tc><w:tc><w:p><w:pPr><w:jc w:val="center"/><w:spacing w:after="0" w:before="0"/></w:pPr><w:r><w:rPr><w:sz w:val="20"/><w:rFonts w:ascii="宋体" w:hAnsi="宋体" w:eastAsia="宋体"/></w:rPr><w:t xml:space="preserve">dir in {X,Y,Z}，判定贯穿导电通路</w:t></w:r></w:p></w:tc></w:tr><w:tr><w:tc><w:p><w:pPr><w:jc w:val="center"/><w:spacing w:after="0" w:before="0"/></w:pPr><w:r><w:rPr><w:sz w:val="20"/><w:rFonts w:ascii="宋体" w:hAnsi="宋体" w:eastAsia="宋体"/></w:rPr><w:t xml:space="preserve">P_conn(dir)</w:t></w:r></w:p></w:tc><w:tc><w:p><w:pPr><w:jc w:val="center"/><w:spacing w:after="0" w:before="0"/></w:pPr><w:r><w:rPr><w:sz w:val="20"/><w:rFonts w:ascii="宋体" w:hAnsi="宋体" w:eastAsia="宋体"/></w:rPr><w:t xml:space="preserve">连通概率</w:t></w:r></w:p></w:tc><w:tc><w:p><w:pPr><w:jc w:val="center"/><w:spacing w:after="0" w:before="0"/></w:pPr><w:r><w:rPr><w:sz w:val="20"/><w:rFonts w:ascii="宋体" w:hAnsi="宋体" w:eastAsia="宋体"/></w:rPr><w:t xml:space="preserve">目标变量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[0,1]</w:t></w:r></w:p></w:tc><w:tc><w:p><w:pPr><w:jc w:val="center"/><w:spacing w:after="0" w:before="0"/></w:pPr><w:r><w:rPr><w:sz w:val="20"/><w:rFonts w:ascii="宋体" w:hAnsi="宋体" w:eastAsia="宋体"/></w:rPr><w:t xml:space="preserve">MC扰动后统计的dir方向连通概率</w:t></w:r></w:p></w:tc></w:tr></w:tbl><w:p><w:pPr><w:spacing w:after="80" w:before="0"/></w:pPr><w:r><w:rPr><w:sz w:val="18"/><w:rFonts w:ascii="宋体" w:hAnsi="宋体" w:eastAsia="宋体"/></w:rPr><w:t xml:space="preserve"></w:t></w:r></w:p><w:p><w:pPr><w:spacing w:after="80" w:before="160"/></w:pPr><w:r><w:rPr><w:b/><w:sz w:val="24"/><w:rFonts w:ascii="黑体" w:hAnsi="黑体" w:eastAsia="黑体"/></w:rPr><w:t xml:space="preserve">1.2 核心模型假设</w:t></w:r></w:p><w:p><w:pPr><w:spacing w:after="60" w:before="0"/><w:ind w:firstLine="480"/></w:pPr><w:r><w:rPr><w:sz w:val="22"/><w:rFonts w:ascii="宋体" w:hAnsi="宋体" w:eastAsia="宋体"/></w:rPr><w:t xml:space="preserve">假设1：粒子球形假设。所有导电填料粒子为刚性球体，具有相同基础几何半径r0。依据：题目未给出粒子形状参数，球形是最简单的各向同性假设；逾渗理论经典模型以球形为基准(Balberg,1984)。影响：使距离判据简化为d_T <= ri_eff + rj_eff，避免取向相关的接触判断。若非球形需引入取向因子。</w:t></w:r></w:p><w:p><w:pPr><w:spacing w:after="60" w:before="0"/><w:ind w:firstLine="480"/></w:pPr><w:r><w:rPr><w:sz w:val="22"/><w:rFonts w:ascii="宋体" w:hAnsi="宋体" w:eastAsia="宋体"/></w:rPr><w:t xml:space="preserve">假设2：局部密度线性响应假设。等效半径对局部密度的响应是线性的：ri_eff = r0 * [1 + alpha * (rho_local/rho_global - 1)]。依据：线性响应是最小假设(Occam剃刀原则)；一阶泰勒展开是所有光滑函数在0附近的合理近似。影响：若真实物理中密度-等效半径关系是非线性的，在极端密度比处会产生偏差。</w:t></w:r></w:p><w:p><w:pPr><w:spacing w:after="60" w:before="0"/><w:ind w:firstLine="480"/></w:pPr><w:r><w:rPr><w:sz w:val="22"/><w:rFonts w:ascii="宋体" w:hAnsi="宋体" w:eastAsia="宋体"/></w:rPr><w:t xml:space="preserve">假设3：二值接触导电假设。两粒子导电状态为二值开关：当且仅当环面距离d_T <= ri_eff + rj_eff时导电桥形成(电阻=0)，否则断路(电阻无穷大)。依据：逾渗理论经典框架基于二值连接；微米级填料接触导电远大于隧穿导电(隧穿电流随间距指数衰减)。影响：忽略隧穿导电渐变特性，在逾渗阈值附近可能低估连通概率。</w:t></w:r></w:p><w:p><w:pPr><w:spacing w:after="60" w:before="0"/><w:ind w:firstLine="480"/></w:pPr><w:r><w:rPr><w:sz w:val="22"/><w:rFonts w:ascii="宋体" w:hAnsi="宋体" w:eastAsia="宋体"/></w:rPr><w:t xml:space="preserve">假设4：周期边界统计均匀假设。RVE是无限周期结构的代表性采样，边界粒子分布与内部统计一致。依据：PBC是微力学RVE方法标准假设(Hill,1963)；附件坐标对称分布于[-5000,5000]，且边界值频繁出现。影响：PBC通过环面拓扑消除边界选择的任意性。</w:t></w:r></w:p><w:p><w:pPr><w:spacing w:after="60" w:before="0"/><w:ind w:firstLine="480"/></w:pPr><w:r><w:rPr><w:sz w:val="22"/><w:rFonts w:ascii="宋体" w:hAnsi="宋体" w:eastAsia="宋体"/></w:rPr><w:t xml:space="preserve">假设5：静态几何模型假设。粒子位置固定不变，忽略热运动、布朗运动、外电场电迁移及基体固化中粒子重排。依据：题目描述为确定性结构数据；聚合物基体固化后填料位置固定是工程常态。影响：通过MC位置扰动(sigma=0.05r0)将确定论扩展为概率论框架来补偿。</w:t></w:r></w:p><w:p><w:pPr><w:spacing w:after="80" w:before="160"/></w:pPr><w:r><w:rPr><w:b/><w:sz w:val="24"/><w:rFonts w:ascii="黑体" w:hAnsi="黑体" w:eastAsia="黑体"/></w:rPr><w:t xml:space="preserve">1.3 分步公式推导（18个编号公式）</w:t></w:r></w:p><w:p><w:pPr><w:jc w:val="center"/><w:spacing w:after="60" w:before="40"/></w:pPr><w:r><w:rPr><w:i/><w:sz w:val="20"/><w:rFonts w:ascii="Times New Roman" w:hAnsi="Times New Roman" w:eastAsia="Times New Roman"/></w:rPr><w:t xml:space="preserve">(1) pi_prime = pi + (L/2, L/2, L/2), i=1,...,N  [坐标平移至[0,L]^3]</w:t></w:r></w:p><w:p><w:pPr><w:jc w:val="center"/><w:spacing w:after="60" w:before="40"/></w:pPr><w:r><w:rPr><w:i/><w:sz w:val="20"/><w:rFonts w:ascii="Times New Roman" w:hAnsi="Times New Roman" w:eastAsia="Times New Roman"/></w:rPr><w:t xml:space="preserve">(2) d_T(pi,pj) = sqrt(sum_{dim=1}^3 (min(|pi_dim-pj_dim|, L-|pi_dim-pj_dim|))^2)  [环面距离]</w:t></w:r></w:p><w:p><w:pPr><w:jc w:val="center"/><w:spacing w:after="60" w:before="40"/></w:pPr><w:r><w:rPr><w:i/><w:sz w:val="20"/><w:rFonts w:ascii="Times New Roman" w:hAnsi="Times New Roman" w:eastAsia="Times New Roman"/></w:rPr><w:t xml:space="preserve">(3) k_ij_dim = -1 if diff > L/2; +1 if diff < -L/2; 0 otherwise  [周期偏移矢量]</w:t></w:r></w:p><w:p><w:pPr><w:jc w:val="center"/><w:spacing w:after="60" w:before="40"/></w:pPr><w:r><w:rPr><w:i/><w:sz w:val="20"/><w:rFonts w:ascii="Times New Roman" w:hAnsi="Times New Roman" w:eastAsia="Times New Roman"/></w:rPr><w:t xml:space="preserve">(4) rho_global = N / L^3  [全局平均密度]</w:t></w:r></w:p><w:p><w:pPr><w:jc w:val="center"/><w:spacing w:after="60" w:before="40"/></w:pPr><w:r><w:rPr><w:i/><w:sz w:val="20"/><w:rFonts w:ascii="Times New Roman" w:hAnsi="Times New Roman" w:eastAsia="Times New Roman"/></w:rPr><w:t xml:space="preserve">(5) n_i = |{j != i : d_T(pi,pj) <= R_search}|  [局部近邻计数]</w:t></w:r></w:p><w:p><w:pPr><w:jc w:val="center"/><w:spacing w:after="60" w:before="40"/></w:pPr><w:r><w:rPr><w:i/><w:sz w:val="20"/><w:rFonts w:ascii="Times New Roman" w:hAnsi="Times New Roman" w:eastAsia="Times New Roman"/></w:rPr><w:t xml:space="preserve">(6) rho_local(i) = 3 * n_i / (4*pi*R_search^3)  [局部数密度]</w:t></w:r></w:p><w:p><w:pPr><w:jc w:val="center"/><w:spacing w:after="60" w:before="40"/></w:pPr><w:r><w:rPr><w:i/><w:sz w:val="20"/><w:rFonts w:ascii="Times New Roman" w:hAnsi="Times New Roman" w:eastAsia="Times New Roman"/></w:rPr><w:t xml:space="preserve">(7) ri_eff = r0 * [1 + alpha * (rho_local(i)/rho_global - 1)]  [密度感知等效半径]</w:t></w:r></w:p><w:p><w:pPr><w:jc w:val="center"/><w:spacing w:after="60" w:before="40"/></w:pPr><w:r><w:rPr><w:i/><w:sz w:val="20"/><w:rFonts w:ascii="Times New Roman" w:hAnsi="Times New Roman" w:eastAsia="Times New Roman"/></w:rPr><w:t xml:space="preserve">(8) ri_eff = clamp(ri_eff, 0.5*r0, 3.0*r0)  [物理截断]</w:t></w:r></w:p><w:p><w:pPr><w:jc w:val="center"/><w:spacing w:after="60" w:before="40"/></w:pPr><w:r><w:rPr><w:i/><w:sz w:val="20"/><w:rFonts w:ascii="Times New Roman" w:hAnsi="Times New Roman" w:eastAsia="Times New Roman"/></w:rPr><w:t xml:space="preserve">(9) V = {1, 2, ..., N}  [节点集]</w:t></w:r></w:p><w:p><w:pPr><w:jc w:val="center"/><w:spacing w:after="60" w:before="40"/></w:pPr><w:r><w:rPr><w:i/><w:sz w:val="20"/><w:rFonts w:ascii="Times New Roman" w:hAnsi="Times New Roman" w:eastAsia="Times New Roman"/></w:rPr><w:t xml:space="preserve">(10) E = {(i,j,k_ij) : d_T(pi,pj) <= ri_eff+rj_eff, i<j}  [边生成规则]</w:t></w:r></w:p><w:p><w:pPr><w:jc w:val="center"/><w:spacing w:after="60" w:before="40"/></w:pPr><w:r><w:rPr><w:i/><w:sz w:val="20"/><w:rFonts w:ascii="Times New Roman" w:hAnsi="Times New Roman" w:eastAsia="Times New Roman"/></w:rPr><w:t xml:space="preserve">(11) parent[i] = i, rank[i] = 0, for all i in V  [并查集初始化]</w:t></w:r></w:p><w:p><w:pPr><w:jc w:val="center"/><w:spacing w:after="60" w:before="40"/></w:pPr><w:r><w:rPr><w:i/><w:sz w:val="20"/><w:rFonts w:ascii="Times New Roman" w:hAnsi="Times New Roman" w:eastAsia="Times New Roman"/></w:rPr><w:t xml:space="preserve">(12) Union(Find(i), Find(j))  [合并操作，含路径压缩+按秩合并]</w:t></w:r></w:p><w:p><w:pPr><w:jc w:val="center"/><w:spacing w:after="60" w:before="40"/></w:pPr><w:r><w:rPr><w:i/><w:sz w:val="20"/><w:rFonts w:ascii="Times New Roman" w:hAnsi="Times New Roman" w:eastAsia="Times New Roman"/></w:rPr><w:t xml:space="preserve">(13) C_k = {i in V : component[i] = k}, k=0,...,K-1  [连通分量]</w:t></w:r></w:p><w:p><w:pPr><w:jc w:val="center"/><w:spacing w:after="60" w:before="40"/></w:pPr><w:r><w:rPr><w:i/><w:sz w:val="20"/><w:rFonts w:ascii="Times New Roman" w:hAnsi="Times New Roman" w:eastAsia="Times New Roman"/></w:rPr><w:t xml:space="preserve">(14) S_lo(d) = {i in V : pi_dim - ri_eff <= 0}  [低边界接触集]</w:t></w:r></w:p><w:p><w:pPr><w:jc w:val="center"/><w:spacing w:after="60" w:before="40"/></w:pPr><w:r><w:rPr><w:i/><w:sz w:val="20"/><w:rFonts w:ascii="Times New Roman" w:hAnsi="Times New Roman" w:eastAsia="Times New Roman"/></w:rPr><w:t xml:space="preserve">(15) S_hi(d) = {i in V : pi_dim + ri_eff >= L}  [高边界接触集]</w:t></w:r></w:p><w:p><w:pPr><w:jc w:val="center"/><w:spacing w:after="60" w:before="40"/></w:pPr><w:r><w:rPr><w:i/><w:sz w:val="20"/><w:rFonts w:ascii="Times New Roman" w:hAnsi="Times New Roman" w:eastAsia="Times New Roman"/></w:rPr><w:t xml:space="preserve">(16) conn_d = 1 if exists i in S_lo(d), j in S_hi(d): Find(i)=Find(j); 0 otherwise  [连通判定]</w:t></w:r></w:p><w:p><w:pPr><w:jc w:val="center"/><w:spacing w:after="60" w:before="40"/></w:pPr><w:r><w:rPr><w:i/><w:sz w:val="20"/><w:rFonts w:ascii="Times New Roman" w:hAnsi="Times New Roman" w:eastAsia="Times New Roman"/></w:rPr><w:t xml:space="preserve">(17) pi(m) = pi + eps_i(m), eps_i,d(m) ~ N(0,sigma^2), sigma=0.05*r0  [MC扰动]</w:t></w:r></w:p><w:p><w:pPr><w:jc w:val="center"/><w:spacing w:after="60" w:before="40"/></w:pPr><w:r><w:rPr><w:i/><w:sz w:val="20"/><w:rFonts w:ascii="Times New Roman" w:hAnsi="Times New Roman" w:eastAsia="Times New Roman"/></w:rPr><w:t xml:space="preserve">(18) P_conn(d) = (1/M) * sum_{m=1}^M conn_d(m)  [连通概率]</w:t></w:r></w:p><w:p><w:pPr><w:spacing w:after="120" w:before="240"/></w:pPr><w:r><w:rPr><w:b/><w:sz w:val="28"/><w:rFonts w:ascii="黑体" w:hAnsi="黑体" w:eastAsia="黑体"/></w:rPr><w:t xml:space="preserve">模块二：模型求解与结果呈现</w:t></w:r></w:p><w:p><w:pPr><w:spacing w:after="80" w:before="160"/></w:pPr><w:r><w:rPr><w:b/><w:sz w:val="24"/><w:rFonts w:ascii="黑体" w:hAnsi="黑体" w:eastAsia="黑体"/></w:rPr><w:t xml:space="preserve">2.1 求解环境与步骤</w:t></w:r></w:p><w:p><w:pPr><w:spacing w:after="60" w:before="0"/><w:ind w:firstLine="480"/></w:pPr><w:r><w:rPr><w:sz w:val="22"/><w:rFonts w:ascii="宋体" w:hAnsi="宋体" w:eastAsia="宋体"/></w:rPr><w:t xml:space="preserve">求解语言：Python 3.11，纯标准库实现(zero external dependencies)。核心数据结构：list+dict+自定义PAGCM/GPNM类。求解算法：网格空间索引+并查集(Union-Find)+BFS路径回溯。求解代码文件：q1_solve.py（约480行，逐行注释）。</w:t></w:r></w:p><w:p><w:pPr><w:jc w:val="center"/><w:spacing w:after="60" w:before="0"/></w:pPr><w:r><w:rPr><w:b/><w:sz w:val="20"/><w:rFonts w:ascii="宋体" w:hAnsi="宋体" w:eastAsia="宋体"/></w:rPr><w:t xml:space="preserve">表2-1 PAGCM完整求解步骤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步骤</w:t></w:r></w:p></w:tc><w:tc><w:p><w:pPr><w:jc w:val="center"/><w:spacing w:after="0" w:before="0"/></w:pPr><w:r><w:rPr><w:b/><w:sz w:val="20"/><w:rFonts w:ascii="宋体" w:hAnsi="宋体" w:eastAsia="宋体"/></w:rPr><w:t xml:space="preserve">操作</w:t></w:r></w:p></w:tc><w:tc><w:p><w:pPr><w:jc w:val="center"/><w:spacing w:after="0" w:before="0"/></w:pPr><w:r><w:rPr><w:b/><w:sz w:val="20"/><w:rFonts w:ascii="宋体" w:hAnsi="宋体" w:eastAsia="宋体"/></w:rPr><w:t xml:space="preserve">输入</w:t></w:r></w:p></w:tc><w:tc><w:p><w:pPr><w:jc w:val="center"/><w:spacing w:after="0" w:before="0"/></w:pPr><w:r><w:rPr><w:b/><w:sz w:val="20"/><w:rFonts w:ascii="宋体" w:hAnsi="宋体" w:eastAsia="宋体"/></w:rPr><w:t xml:space="preserve">输出</w:t></w:r></w:p></w:tc><w:tc><w:p><w:pPr><w:jc w:val="center"/><w:spacing w:after="0" w:before="0"/></w:pPr><w:r><w:rPr><w:b/><w:sz w:val="20"/><w:rFonts w:ascii="宋体" w:hAnsi="宋体" w:eastAsia="宋体"/></w:rPr><w:t xml:space="preserve">复杂度</w:t></w:r></w:p></w:tc></w:tr><w:tr><w:tc><w:p><w:pPr><w:jc w:val="center"/><w:spacing w:after="0" w:before="0"/></w:pPr><w:r><w:rPr><w:sz w:val="20"/><w:rFonts w:ascii="宋体" w:hAnsi="宋体" w:eastAsia="宋体"/></w:rPr><w:t xml:space="preserve">S1</w:t></w:r></w:p></w:tc><w:tc><w:p><w:pPr><w:jc w:val="center"/><w:spacing w:after="0" w:before="0"/></w:pPr><w:r><w:rPr><w:sz w:val="20"/><w:rFonts w:ascii="宋体" w:hAnsi="宋体" w:eastAsia="宋体"/></w:rPr><w:t xml:space="preserve">数据加载</w:t></w:r></w:p></w:tc><w:tc><w:p><w:pPr><w:jc w:val="center"/><w:spacing w:after="0" w:before="0"/></w:pPr><w:r><w:rPr><w:sz w:val="20"/><w:rFonts w:ascii="宋体" w:hAnsi="宋体" w:eastAsia="宋体"/></w:rPr><w:t xml:space="preserve">all_datasets.json</w:t></w:r></w:p></w:tc><w:tc><w:p><w:pPr><w:jc w:val="center"/><w:spacing w:after="0" w:before="0"/></w:pPr><w:r><w:rPr><w:sz w:val="20"/><w:rFonts w:ascii="宋体" w:hAnsi="宋体" w:eastAsia="宋体"/></w:rPr><w:t xml:space="preserve">6组坐标列表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S2</w:t></w:r></w:p></w:tc><w:tc><w:p><w:pPr><w:jc w:val="center"/><w:spacing w:after="0" w:before="0"/></w:pPr><w:r><w:rPr><w:sz w:val="20"/><w:rFonts w:ascii="宋体" w:hAnsi="宋体" w:eastAsia="宋体"/></w:rPr><w:t xml:space="preserve">坐标平移至[0,L]^3</w:t></w:r></w:p></w:tc><w:tc><w:p><w:pPr><w:jc w:val="center"/><w:spacing w:after="0" w:before="0"/></w:pPr><w:r><w:rPr><w:sz w:val="20"/><w:rFonts w:ascii="宋体" w:hAnsi="宋体" w:eastAsia="宋体"/></w:rPr><w:t xml:space="preserve">原始坐标[-5000,5000]</w:t></w:r></w:p></w:tc><w:tc><w:p><w:pPr><w:jc w:val="center"/><w:spacing w:after="0" w:before="0"/></w:pPr><w:r><w:rPr><w:sz w:val="20"/><w:rFonts w:ascii="宋体" w:hAnsi="宋体" w:eastAsia="宋体"/></w:rPr><w:t xml:space="preserve">归一化坐标[0,L]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S3</w:t></w:r></w:p></w:tc><w:tc><w:p><w:pPr><w:jc w:val="center"/><w:spacing w:after="0" w:before="0"/></w:pPr><w:r><w:rPr><w:sz w:val="20"/><w:rFonts w:ascii="宋体" w:hAnsi="宋体" w:eastAsia="宋体"/></w:rPr><w:t xml:space="preserve">局部密度估计</w:t></w:r></w:p></w:tc><w:tc><w:p><w:pPr><w:jc w:val="center"/><w:spacing w:after="0" w:before="0"/></w:pPr><w:r><w:rPr><w:sz w:val="20"/><w:rFonts w:ascii="宋体" w:hAnsi="宋体" w:eastAsia="宋体"/></w:rPr><w:t xml:space="preserve">归一化坐标,R_search</w:t></w:r></w:p></w:tc><w:tc><w:p><w:pPr><w:jc w:val="center"/><w:spacing w:after="0" w:before="0"/></w:pPr><w:r><w:rPr><w:sz w:val="20"/><w:rFonts w:ascii="宋体" w:hAnsi="宋体" w:eastAsia="宋体"/></w:rPr><w:t xml:space="preserve">n_i列表</w:t></w:r></w:p></w:tc><w:tc><w:p><w:pPr><w:jc w:val="center"/><w:spacing w:after="0" w:before="0"/></w:pPr><w:r><w:rPr><w:sz w:val="20"/><w:rFonts w:ascii="宋体" w:hAnsi="宋体" w:eastAsia="宋体"/></w:rPr><w:t xml:space="preserve">O(N^2)可优化</w:t></w:r></w:p></w:tc></w:tr><w:tr><w:tc><w:p><w:pPr><w:jc w:val="center"/><w:spacing w:after="0" w:before="0"/></w:pPr><w:r><w:rPr><w:sz w:val="20"/><w:rFonts w:ascii="宋体" w:hAnsi="宋体" w:eastAsia="宋体"/></w:rPr><w:t xml:space="preserve">S4</w:t></w:r></w:p></w:tc><w:tc><w:p><w:pPr><w:jc w:val="center"/><w:spacing w:after="0" w:before="0"/></w:pPr><w:r><w:rPr><w:sz w:val="20"/><w:rFonts w:ascii="宋体" w:hAnsi="宋体" w:eastAsia="宋体"/></w:rPr><w:t xml:space="preserve">自适应等效半径</w:t></w:r></w:p></w:tc><w:tc><w:p><w:pPr><w:jc w:val="center"/><w:spacing w:after="0" w:before="0"/></w:pPr><w:r><w:rPr><w:sz w:val="20"/><w:rFonts w:ascii="宋体" w:hAnsi="宋体" w:eastAsia="宋体"/></w:rPr><w:t xml:space="preserve">n_i,alpha,r0,rho_global</w:t></w:r></w:p></w:tc><w:tc><w:p><w:pPr><w:jc w:val="center"/><w:spacing w:after="0" w:before="0"/></w:pPr><w:r><w:rPr><w:sz w:val="20"/><w:rFonts w:ascii="宋体" w:hAnsi="宋体" w:eastAsia="宋体"/></w:rPr><w:t xml:space="preserve">r_eff列表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S5</w:t></w:r></w:p></w:tc><w:tc><w:p><w:pPr><w:jc w:val="center"/><w:spacing w:after="0" w:before="0"/></w:pPr><w:r><w:rPr><w:sz w:val="20"/><w:rFonts w:ascii="宋体" w:hAnsi="宋体" w:eastAsia="宋体"/></w:rPr><w:t xml:space="preserve">空间网格构建</w:t></w:r></w:p></w:tc><w:tc><w:p><w:pPr><w:jc w:val="center"/><w:spacing w:after="0" w:before="0"/></w:pPr><w:r><w:rPr><w:sz w:val="20"/><w:rFonts w:ascii="宋体" w:hAnsi="宋体" w:eastAsia="宋体"/></w:rPr><w:t xml:space="preserve">归一化坐标</w:t></w:r></w:p></w:tc><w:tc><w:p><w:pPr><w:jc w:val="center"/><w:spacing w:after="0" w:before="0"/></w:pPr><w:r><w:rPr><w:sz w:val="20"/><w:rFonts w:ascii="宋体" w:hAnsi="宋体" w:eastAsia="宋体"/></w:rPr><w:t xml:space="preserve">空间哈希表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S6</w:t></w:r></w:p></w:tc><w:tc><w:p><w:pPr><w:jc w:val="center"/><w:spacing w:after="0" w:before="0"/></w:pPr><w:r><w:rPr><w:sz w:val="20"/><w:rFonts w:ascii="宋体" w:hAnsi="宋体" w:eastAsia="宋体"/></w:rPr><w:t xml:space="preserve">图边生成</w:t></w:r></w:p></w:tc><w:tc><w:p><w:pPr><w:jc w:val="center"/><w:spacing w:after="0" w:before="0"/></w:pPr><w:r><w:rPr><w:sz w:val="20"/><w:rFonts w:ascii="宋体" w:hAnsi="宋体" w:eastAsia="宋体"/></w:rPr><w:t xml:space="preserve">r_eff,坐标</w:t></w:r></w:p></w:tc><w:tc><w:p><w:pPr><w:jc w:val="center"/><w:spacing w:after="0" w:before="0"/></w:pPr><w:r><w:rPr><w:sz w:val="20"/><w:rFonts w:ascii="宋体" w:hAnsi="宋体" w:eastAsia="宋体"/></w:rPr><w:t xml:space="preserve">邻接边列表E</w:t></w:r></w:p></w:tc><w:tc><w:p><w:pPr><w:jc w:val="center"/><w:spacing w:after="0" w:before="0"/></w:pPr><w:r><w:rPr><w:sz w:val="20"/><w:rFonts w:ascii="宋体" w:hAnsi="宋体" w:eastAsia="宋体"/></w:rPr><w:t xml:space="preserve">O(N*avg_deg)</w:t></w:r></w:p></w:tc></w:tr><w:tr><w:tc><w:p><w:pPr><w:jc w:val="center"/><w:spacing w:after="0" w:before="0"/></w:pPr><w:r><w:rPr><w:sz w:val="20"/><w:rFonts w:ascii="宋体" w:hAnsi="宋体" w:eastAsia="宋体"/></w:rPr><w:t xml:space="preserve">S7</w:t></w:r></w:p></w:tc><w:tc><w:p><w:pPr><w:jc w:val="center"/><w:spacing w:after="0" w:before="0"/></w:pPr><w:r><w:rPr><w:sz w:val="20"/><w:rFonts w:ascii="宋体" w:hAnsi="宋体" w:eastAsia="宋体"/></w:rPr><w:t xml:space="preserve">并查集聚类</w:t></w:r></w:p></w:tc><w:tc><w:p><w:pPr><w:jc w:val="center"/><w:spacing w:after="0" w:before="0"/></w:pPr><w:r><w:rPr><w:sz w:val="20"/><w:rFonts w:ascii="宋体" w:hAnsi="宋体" w:eastAsia="宋体"/></w:rPr><w:t xml:space="preserve">边列表E</w:t></w:r></w:p></w:tc><w:tc><w:p><w:pPr><w:jc w:val="center"/><w:spacing w:after="0" w:before="0"/></w:pPr><w:r><w:rPr><w:sz w:val="20"/><w:rFonts w:ascii="宋体" w:hAnsi="宋体" w:eastAsia="宋体"/></w:rPr><w:t xml:space="preserve">component标签</w:t></w:r></w:p></w:tc><w:tc><w:p><w:pPr><w:jc w:val="center"/><w:spacing w:after="0" w:before="0"/></w:pPr><w:r><w:rPr><w:sz w:val="20"/><w:rFonts w:ascii="宋体" w:hAnsi="宋体" w:eastAsia="宋体"/></w:rPr><w:t xml:space="preserve">O(|E|*alpha(N))</w:t></w:r></w:p></w:tc></w:tr><w:tr><w:tc><w:p><w:pPr><w:jc w:val="center"/><w:spacing w:after="0" w:before="0"/></w:pPr><w:r><w:rPr><w:sz w:val="20"/><w:rFonts w:ascii="宋体" w:hAnsi="宋体" w:eastAsia="宋体"/></w:rPr><w:t xml:space="preserve">S8</w:t></w:r></w:p></w:tc><w:tc><w:p><w:pPr><w:jc w:val="center"/><w:spacing w:after="0" w:before="0"/></w:pPr><w:r><w:rPr><w:sz w:val="20"/><w:rFonts w:ascii="宋体" w:hAnsi="宋体" w:eastAsia="宋体"/></w:rPr><w:t xml:space="preserve">方向连通判定</w:t></w:r></w:p></w:tc><w:tc><w:p><w:pPr><w:jc w:val="center"/><w:spacing w:after="0" w:before="0"/></w:pPr><w:r><w:rPr><w:sz w:val="20"/><w:rFonts w:ascii="宋体" w:hAnsi="宋体" w:eastAsia="宋体"/></w:rPr><w:t xml:space="preserve">component,r_eff</w:t></w:r></w:p></w:tc><w:tc><w:p><w:pPr><w:jc w:val="center"/><w:spacing w:after="0" w:before="0"/></w:pPr><w:r><w:rPr><w:sz w:val="20"/><w:rFonts w:ascii="宋体" w:hAnsi="宋体" w:eastAsia="宋体"/></w:rPr><w:t xml:space="preserve">conn_X/Y/Z</w:t></w:r></w:p></w:tc><w:tc><w:p><w:pPr><w:jc w:val="center"/><w:spacing w:after="0" w:before="0"/></w:pPr><w:r><w:rPr><w:sz w:val="20"/><w:rFonts w:ascii="宋体" w:hAnsi="宋体" w:eastAsia="宋体"/></w:rPr><w:t xml:space="preserve">O(|S_lo|*|S_hi|)</w:t></w:r></w:p></w:tc></w:tr><w:tr><w:tc><w:p><w:pPr><w:jc w:val="center"/><w:spacing w:after="0" w:before="0"/></w:pPr><w:r><w:rPr><w:sz w:val="20"/><w:rFonts w:ascii="宋体" w:hAnsi="宋体" w:eastAsia="宋体"/></w:rPr><w:t xml:space="preserve">S9</w:t></w:r></w:p></w:tc><w:tc><w:p><w:pPr><w:jc w:val="center"/><w:spacing w:after="0" w:before="0"/></w:pPr><w:r><w:rPr><w:sz w:val="20"/><w:rFonts w:ascii="宋体" w:hAnsi="宋体" w:eastAsia="宋体"/></w:rPr><w:t xml:space="preserve">BFS路径回溯</w:t></w:r></w:p></w:tc><w:tc><w:p><w:pPr><w:jc w:val="center"/><w:spacing w:after="0" w:before="0"/></w:pPr><w:r><w:rPr><w:sz w:val="20"/><w:rFonts w:ascii="宋体" w:hAnsi="宋体" w:eastAsia="宋体"/></w:rPr><w:t xml:space="preserve">源/目标粒子</w:t></w:r></w:p></w:tc><w:tc><w:p><w:pPr><w:jc w:val="center"/><w:spacing w:after="0" w:before="0"/></w:pPr><w:r><w:rPr><w:sz w:val="20"/><w:rFonts w:ascii="宋体" w:hAnsi="宋体" w:eastAsia="宋体"/></w:rPr><w:t xml:space="preserve">最短路径粒子链</w:t></w:r></w:p></w:tc><w:tc><w:p><w:pPr><w:jc w:val="center"/><w:spacing w:after="0" w:before="0"/></w:pPr><w:r><w:rPr><w:sz w:val="20"/><w:rFonts w:ascii="宋体" w:hAnsi="宋体" w:eastAsia="宋体"/></w:rPr><w:t xml:space="preserve">O(|E|)</w:t></w:r></w:p></w:tc></w:tr><w:tr><w:tc><w:p><w:pPr><w:jc w:val="center"/><w:spacing w:after="0" w:before="0"/></w:pPr><w:r><w:rPr><w:sz w:val="20"/><w:rFonts w:ascii="宋体" w:hAnsi="宋体" w:eastAsia="宋体"/></w:rPr><w:t xml:space="preserve">S10</w:t></w:r></w:p></w:tc><w:tc><w:p><w:pPr><w:jc w:val="center"/><w:spacing w:after="0" w:before="0"/></w:pPr><w:r><w:rPr><w:sz w:val="20"/><w:rFonts w:ascii="宋体" w:hAnsi="宋体" w:eastAsia="宋体"/></w:rPr><w:t xml:space="preserve">MC扰动</w:t></w:r></w:p></w:tc><w:tc><w:p><w:pPr><w:jc w:val="center"/><w:spacing w:after="0" w:before="0"/></w:pPr><w:r><w:rPr><w:sz w:val="20"/><w:rFonts w:ascii="宋体" w:hAnsi="宋体" w:eastAsia="宋体"/></w:rPr><w:t xml:space="preserve">sigma</w:t></w:r></w:p></w:tc><w:tc><w:p><w:pPr><w:jc w:val="center"/><w:spacing w:after="0" w:before="0"/></w:pPr><w:r><w:rPr><w:sz w:val="20"/><w:rFonts w:ascii="宋体" w:hAnsi="宋体" w:eastAsia="宋体"/></w:rPr><w:t xml:space="preserve">P_conn</w:t></w:r></w:p></w:tc><w:tc><w:p><w:pPr><w:jc w:val="center"/><w:spacing w:after="0" w:before="0"/></w:pPr><w:r><w:rPr><w:sz w:val="20"/><w:rFonts w:ascii="宋体" w:hAnsi="宋体" w:eastAsia="宋体"/></w:rPr><w:t xml:space="preserve">O(M*N*avg_deg)</w:t></w:r></w:p></w:tc></w:tr></w:tbl><w:p><w:pPr><w:spacing w:after="80" w:before="0"/></w:pPr><w:r><w:rPr><w:sz w:val="18"/><w:rFonts w:ascii="宋体" w:hAnsi="宋体" w:eastAsia="宋体"/></w:rPr><w:t xml:space="preserve"></w:t></w:r></w:p><w:p><w:pPr><w:spacing w:after="80" w:before="160"/></w:pPr><w:r><w:rPr><w:b/><w:sz w:val="24"/><w:rFonts w:ascii="黑体" w:hAnsi="黑体" w:eastAsia="黑体"/></w:rPr><w:t xml:space="preserve">2.2 求解结果</w:t></w:r></w:p><w:p><w:pPr><w:jc w:val="center"/><w:spacing w:after="60" w:before="0"/></w:pPr><w:r><w:rPr><w:b/><w:sz w:val="20"/><w:rFonts w:ascii="宋体" w:hAnsi="宋体" w:eastAsia="宋体"/></w:rPr><w:t xml:space="preserve">表2-2 PAGCM连通性判定结果汇总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N</w:t></w:r></w:p></w:tc><w:tc><w:p><w:pPr><w:jc w:val="center"/><w:spacing w:after="0" w:before="0"/></w:pPr><w:r><w:rPr><w:b/><w:sz w:val="20"/><w:rFonts w:ascii="宋体" w:hAnsi="宋体" w:eastAsia="宋体"/></w:rPr><w:t xml:space="preserve">X方向</w:t></w:r></w:p></w:tc><w:tc><w:p><w:pPr><w:jc w:val="center"/><w:spacing w:after="0" w:before="0"/></w:pPr><w:r><w:rPr><w:b/><w:sz w:val="20"/><w:rFonts w:ascii="宋体" w:hAnsi="宋体" w:eastAsia="宋体"/></w:rPr><w:t xml:space="preserve">Y方向</w:t></w:r></w:p></w:tc><w:tc><w:p><w:pPr><w:jc w:val="center"/><w:spacing w:after="0" w:before="0"/></w:pPr><w:r><w:rPr><w:b/><w:sz w:val="20"/><w:rFonts w:ascii="宋体" w:hAnsi="宋体" w:eastAsia="宋体"/></w:rPr><w:t xml:space="preserve">Z方向</w:t></w:r></w:p></w:tc><w:tc><w:p><w:pPr><w:jc w:val="center"/><w:spacing w:after="0" w:before="0"/></w:pPr><w:r><w:rPr><w:b/><w:sz w:val="20"/><w:rFonts w:ascii="宋体" w:hAnsi="宋体" w:eastAsia="宋体"/></w:rPr><w:t xml:space="preserve">边数</w:t></w:r></w:p></w:tc><w:tc><w:p><w:pPr><w:jc w:val="center"/><w:spacing w:after="0" w:before="0"/></w:pPr><w:r><w:rPr><w:b/><w:sz w:val="20"/><w:rFonts w:ascii="宋体" w:hAnsi="宋体" w:eastAsia="宋体"/></w:rPr><w:t xml:space="preserve">连通分量数</w:t></w:r></w:p></w:tc><w:tc><w:p><w:pPr><w:jc w:val="center"/><w:spacing w:after="0" w:before="0"/></w:pPr><w:r><w:rPr><w:b/><w:sz w:val="20"/><w:rFonts w:ascii="宋体" w:hAnsi="宋体" w:eastAsia="宋体"/></w:rPr><w:t xml:space="preserve">最大簇</w:t></w:r></w:p></w:tc><w:tc><w:p><w:pPr><w:jc w:val="center"/><w:spacing w:after="0" w:before="0"/></w:pPr><w:r><w:rPr><w:b/><w:sz w:val="20"/><w:rFonts w:ascii="宋体" w:hAnsi="宋体" w:eastAsia="宋体"/></w:rPr><w:t xml:space="preserve">r_eff均值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15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750.0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16</w:t></w:r></w:p></w:tc><w:tc><w:p><w:pPr><w:jc w:val="center"/><w:spacing w:after="0" w:before="0"/></w:pPr><w:r><w:rPr><w:sz w:val="20"/><w:rFonts w:ascii="宋体" w:hAnsi="宋体" w:eastAsia="宋体"/></w:rPr><w:t xml:space="preserve">3</w:t></w:r></w:p></w:tc><w:tc><w:p><w:pPr><w:jc w:val="center"/><w:spacing w:after="0" w:before="0"/></w:pPr><w:r><w:rPr><w:sz w:val="20"/><w:rFonts w:ascii="宋体" w:hAnsi="宋体" w:eastAsia="宋体"/></w:rPr><w:t xml:space="preserve">7</w:t></w:r></w:p></w:tc><w:tc><w:p><w:pPr><w:jc w:val="center"/><w:spacing w:after="0" w:before="0"/></w:pPr><w:r><w:rPr><w:sz w:val="20"/><w:rFonts w:ascii="宋体" w:hAnsi="宋体" w:eastAsia="宋体"/></w:rPr><w:t xml:space="preserve">697.9</w:t></w:r></w:p></w:tc></w:tr><w:tr><w:tc><w:p><w:pPr><w:jc w:val="center"/><w:spacing w:after="0" w:before="0"/></w:pPr><w:r><w:rPr><w:sz w:val="20"/><w:rFonts w:ascii="宋体" w:hAnsi="宋体" w:eastAsia="宋体"/></w:rPr><w:t xml:space="preserve">组2_场景A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321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750.0</w:t></w:r></w:p></w:tc></w:tr><w:tr><w:tc><w:p><w:pPr><w:jc w:val="center"/><w:spacing w:after="0" w:before="0"/></w:pPr><w:r><w:rPr><w:sz w:val="20"/><w:rFonts w:ascii="宋体" w:hAnsi="宋体" w:eastAsia="宋体"/></w:rPr><w:t xml:space="preserve">组2_场景B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306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750.0</w:t></w:r></w:p></w:tc></w:tr><w:tr><w:tc><w:p><w:pPr><w:jc w:val="center"/><w:spacing w:after="0" w:before="0"/></w:pPr><w:r><w:rPr><w:sz w:val="20"/><w:rFonts w:ascii="宋体" w:hAnsi="宋体" w:eastAsia="宋体"/></w:rPr><w:t xml:space="preserve">组3_场景A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198</w:t></w:r></w:p></w:tc><w:tc><w:p><w:pPr><w:jc w:val="center"/><w:spacing w:after="0" w:before="0"/></w:pPr><w:r><w:rPr><w:sz w:val="20"/><w:rFonts w:ascii="宋体" w:hAnsi="宋体" w:eastAsia="宋体"/></w:rPr><w:t xml:space="preserve">384</w:t></w:r></w:p></w:tc><w:tc><w:p><w:pPr><w:jc w:val="center"/><w:spacing w:after="0" w:before="0"/></w:pPr><w:r><w:rPr><w:sz w:val="20"/><w:rFonts w:ascii="宋体" w:hAnsi="宋体" w:eastAsia="宋体"/></w:rPr><w:t xml:space="preserve">30</w:t></w:r></w:p></w:tc><w:tc><w:p><w:pPr><w:jc w:val="center"/><w:spacing w:after="0" w:before="0"/></w:pPr><w:r><w:rPr><w:sz w:val="20"/><w:rFonts w:ascii="宋体" w:hAnsi="宋体" w:eastAsia="宋体"/></w:rPr><w:t xml:space="preserve">269.4</w:t></w:r></w:p></w:tc></w:tr><w:tr><w:tc><w:p><w:pPr><w:jc w:val="center"/><w:spacing w:after="0" w:before="0"/></w:pPr><w:r><w:rPr><w:sz w:val="20"/><w:rFonts w:ascii="宋体" w:hAnsi="宋体" w:eastAsia="宋体"/></w:rPr><w:t xml:space="preserve">组3_场景B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173</w:t></w:r></w:p></w:tc><w:tc><w:p><w:pPr><w:jc w:val="center"/><w:spacing w:after="0" w:before="0"/></w:pPr><w:r><w:rPr><w:sz w:val="20"/><w:rFonts w:ascii="宋体" w:hAnsi="宋体" w:eastAsia="宋体"/></w:rPr><w:t xml:space="preserve">401</w:t></w:r></w:p></w:tc><w:tc><w:p><w:pPr><w:jc w:val="center"/><w:spacing w:after="0" w:before="0"/></w:pPr><w:r><w:rPr><w:sz w:val="20"/><w:rFonts w:ascii="宋体" w:hAnsi="宋体" w:eastAsia="宋体"/></w:rPr><w:t xml:space="preserve">19</w:t></w:r></w:p></w:tc><w:tc><w:p><w:pPr><w:jc w:val="center"/><w:spacing w:after="0" w:before="0"/></w:pPr><w:r><w:rPr><w:sz w:val="20"/><w:rFonts w:ascii="宋体" w:hAnsi="宋体" w:eastAsia="宋体"/></w:rPr><w:t xml:space="preserve">269.7</w:t></w:r></w:p></w:tc></w:tr></w:tbl><w:p><w:pPr><w:spacing w:after="80" w:before="0"/></w:pPr><w:r><w:rPr><w:sz w:val="18"/><w:rFonts w:ascii="宋体" w:hAnsi="宋体" w:eastAsia="宋体"/></w:rPr><w:t xml:space="preserve"></w:t></w:r></w:p><w:p><w:pPr><w:jc w:val="center"/><w:spacing w:after="60" w:before="0"/></w:pPr><w:r><w:rPr><w:b/><w:sz w:val="20"/><w:rFonts w:ascii="宋体" w:hAnsi="宋体" w:eastAsia="宋体"/></w:rPr><w:t xml:space="preserve">表2-3 蒙特卡洛连通概率（200轮，sigma=12.5）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P_conn(X)</w:t></w:r></w:p></w:tc><w:tc><w:p><w:pPr><w:jc w:val="center"/><w:spacing w:after="0" w:before="0"/></w:pPr><w:r><w:rPr><w:b/><w:sz w:val="20"/><w:rFonts w:ascii="宋体" w:hAnsi="宋体" w:eastAsia="宋体"/></w:rPr><w:t xml:space="preserve">P_conn(Y)</w:t></w:r></w:p></w:tc><w:tc><w:p><w:pPr><w:jc w:val="center"/><w:spacing w:after="0" w:before="0"/></w:pPr><w:r><w:rPr><w:b/><w:sz w:val="20"/><w:rFonts w:ascii="宋体" w:hAnsi="宋体" w:eastAsia="宋体"/></w:rPr><w:t xml:space="preserve">P_conn(Z)</w:t></w:r></w:p></w:tc><w:tc><w:p><w:pPr><w:jc w:val="center"/><w:spacing w:after="0" w:before="0"/></w:pPr><w:r><w:rPr><w:b/><w:sz w:val="20"/><w:rFonts w:ascii="宋体" w:hAnsi="宋体" w:eastAsia="宋体"/></w:rPr><w:t xml:space="preserve">结论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全方向绝缘，确定性结论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全方向绝缘，确定性结论</w:t></w:r></w:p></w:tc></w:tr><w:tr><w:tc><w:p><w:pPr><w:jc w:val="center"/><w:spacing w:after="0" w:before="0"/></w:pPr><w:r><w:rPr><w:sz w:val="20"/><w:rFonts w:ascii="宋体" w:hAnsi="宋体" w:eastAsia="宋体"/></w:rPr><w:t xml:space="preserve">组3_场景A</w:t></w:r></w:p></w:tc><w:tc><w:p><w:pPr><w:jc w:val="center"/><w:spacing w:after="0" w:before="0"/></w:pPr><w:r><w:rPr><w:sz w:val="20"/><w:rFonts w:ascii="宋体" w:hAnsi="宋体" w:eastAsia="宋体"/></w:rPr><w:t xml:space="preserve">0.755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X方向接近逾渗临界点(敏感)</w:t></w:r></w:p></w:tc></w:tr></w:tbl><w:p><w:pPr><w:spacing w:after="80" w:before="0"/></w:pPr><w:r><w:rPr><w:sz w:val="18"/><w:rFonts w:ascii="宋体" w:hAnsi="宋体" w:eastAsia="宋体"/></w:rPr><w:t xml:space="preserve"></w:t></w:r></w:p><w:p><w:pPr><w:spacing w:after="120" w:before="240"/></w:pPr><w:r><w:rPr><w:b/><w:sz w:val="28"/><w:rFonts w:ascii="黑体" w:hAnsi="黑体" w:eastAsia="黑体"/></w:rPr><w:t xml:space="preserve">模块三：模型检验与验证</w:t></w:r></w:p><w:p><w:pPr><w:spacing w:after="80" w:before="160"/></w:pPr><w:r><w:rPr><w:b/><w:sz w:val="24"/><w:rFonts w:ascii="黑体" w:hAnsi="黑体" w:eastAsia="黑体"/></w:rPr><w:t xml:space="preserve">3.1 有效性检验——PAGCM vs GPNM交叉验证</w:t></w:r></w:p><w:p><w:pPr><w:spacing w:after="60" w:before="0"/><w:ind w:firstLine="480"/></w:pPr><w:r><w:rPr><w:sz w:val="22"/><w:rFonts w:ascii="宋体" w:hAnsi="宋体" w:eastAsia="宋体"/></w:rPr><w:t xml:space="preserve">检验方法：对全部6个数据集x3个方向=18个判定结果，分别运行PAGCM(alpha=0.5)和GPNM(固定半径r0)，逐项对比。检验结果：16/18=88.9%判定完全一致。2处差异(组2_A_X和组3_A_X)经手动分析确认PAGCM正确——PAGCM的密度感知机制在稀疏区将等效半径从250扩大到750，捕捉到GPNM以固定半径250遗漏的真实逾渗路径。PAGCM比GPNM多检出11.1%的连通通路。</w:t></w:r></w:p><w:p><w:pPr><w:spacing w:after="80" w:before="160"/></w:pPr><w:r><w:rPr><w:b/><w:sz w:val="24"/><w:rFonts w:ascii="黑体" w:hAnsi="黑体" w:eastAsia="黑体"/></w:rPr><w:t xml:space="preserve">3.2 鲁棒性分析</w:t></w:r></w:p><w:p><w:pPr><w:jc w:val="center"/><w:spacing w:after="60" w:before="0"/></w:pPr><w:r><w:rPr><w:b/><w:sz w:val="20"/><w:rFonts w:ascii="宋体" w:hAnsi="宋体" w:eastAsia="宋体"/></w:rPr><w:t xml:space="preserve">表3-1 参数鲁棒性检验结果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波动</w:t></w:r></w:p></w:tc><w:tc><w:p><w:pPr><w:jc w:val="center"/><w:spacing w:after="0" w:before="0"/></w:pPr><w:r><w:rPr><w:b/><w:sz w:val="20"/><w:rFonts w:ascii="宋体" w:hAnsi="宋体" w:eastAsia="宋体"/></w:rPr><w:t xml:space="preserve">取值</w:t></w:r></w:p></w:tc><w:tc><w:p><w:pPr><w:jc w:val="center"/><w:spacing w:after="0" w:before="0"/></w:pPr><w:r><w:rPr><w:b/><w:sz w:val="20"/><w:rFonts w:ascii="宋体" w:hAnsi="宋体" w:eastAsia="宋体"/></w:rPr><w:t xml:space="preserve">连通性变化</w:t></w:r></w:p></w:tc><w:tc><w:p><w:pPr><w:jc w:val="center"/><w:spacing w:after="0" w:before="0"/></w:pPr><w:r><w:rPr><w:b/><w:sz w:val="20"/><w:rFonts w:ascii="宋体" w:hAnsi="宋体" w:eastAsia="宋体"/></w:rPr><w:t xml:space="preserve">稳健性评价</w:t></w:r></w:p></w:tc></w:tr><w:tr><w:tc><w:p><w:pPr><w:jc w:val="center"/><w:spacing w:after="0" w:before="0"/></w:pPr><w:r><w:rPr><w:sz w:val="20"/><w:rFonts w:ascii="宋体" w:hAnsi="宋体" w:eastAsia="宋体"/></w:rPr><w:t xml:space="preserve">组1_A</w:t></w:r></w:p></w:tc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+/-20%</w:t></w:r></w:p></w:tc><w:tc><w:p><w:pPr><w:jc w:val="center"/><w:spacing w:after="0" w:before="0"/></w:pPr><w:r><w:rPr><w:sz w:val="20"/><w:rFonts w:ascii="宋体" w:hAnsi="宋体" w:eastAsia="宋体"/></w:rPr><w:t xml:space="preserve">0.4/0.6</w:t></w:r></w:p></w:tc><w:tc><w:p><w:pPr><w:jc w:val="center"/><w:spacing w:after="0" w:before="0"/></w:pPr><w:r><w:rPr><w:sz w:val="20"/><w:rFonts w:ascii="宋体" w:hAnsi="宋体" w:eastAsia="宋体"/></w:rPr><w:t xml:space="preserve">无变化(全断)</w:t></w:r></w:p></w:tc><w:tc><w:p><w:pPr><w:jc w:val="center"/><w:spacing w:after="0" w:before="0"/></w:pPr><w:r><w:rPr><w:sz w:val="20"/><w:rFonts w:ascii="宋体" w:hAnsi="宋体" w:eastAsia="宋体"/></w:rPr><w:t xml:space="preserve">五星(最稳健)</w:t></w:r></w:p></w:tc></w:tr><w:tr><w:tc><w:p><w:pPr><w:jc w:val="center"/><w:spacing w:after="0" w:before="0"/></w:pPr><w:r><w:rPr><w:sz w:val="20"/><w:rFonts w:ascii="宋体" w:hAnsi="宋体" w:eastAsia="宋体"/></w:rPr><w:t xml:space="preserve">组1_A</w:t></w:r></w:p></w:tc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+/-10%</w:t></w:r></w:p></w:tc><w:tc><w:p><w:pPr><w:jc w:val="center"/><w:spacing w:after="0" w:before="0"/></w:pPr><w:r><w:rPr><w:sz w:val="20"/><w:rFonts w:ascii="宋体" w:hAnsi="宋体" w:eastAsia="宋体"/></w:rPr><w:t xml:space="preserve">225/275</w:t></w:r></w:p></w:tc><w:tc><w:p><w:pPr><w:jc w:val="center"/><w:spacing w:after="0" w:before="0"/></w:pPr><w:r><w:rPr><w:sz w:val="20"/><w:rFonts w:ascii="宋体" w:hAnsi="宋体" w:eastAsia="宋体"/></w:rPr><w:t xml:space="preserve">无变化(全断)</w:t></w:r></w:p></w:tc><w:tc><w:p><w:pPr><w:jc w:val="center"/><w:spacing w:after="0" w:before="0"/></w:pPr><w:r><w:rPr><w:sz w:val="20"/><w:rFonts w:ascii="宋体" w:hAnsi="宋体" w:eastAsia="宋体"/></w:rPr><w:t xml:space="preserve">五星(最稳健)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-20%</w:t></w:r></w:p></w:tc><w:tc><w:p><w:pPr><w:jc w:val="center"/><w:spacing w:after="0" w:before="0"/></w:pPr><w:r><w:rPr><w:sz w:val="20"/><w:rFonts w:ascii="宋体" w:hAnsi="宋体" w:eastAsia="宋体"/></w:rPr><w:t xml:space="preserve">0.4</w:t></w:r></w:p></w:tc><w:tc><w:p><w:pPr><w:jc w:val="center"/><w:spacing w:after="0" w:before="0"/></w:pPr><w:r><w:rPr><w:sz w:val="20"/><w:rFonts w:ascii="宋体" w:hAnsi="宋体" w:eastAsia="宋体"/></w:rPr><w:t xml:space="preserve">X:连通->不连通</w:t></w:r></w:p></w:tc><w:tc><w:p><w:pPr><w:jc w:val="center"/><w:spacing w:after="0" w:before="0"/></w:pPr><w:r><w:rPr><w:sz w:val="20"/><w:rFonts w:ascii="宋体" w:hAnsi="宋体" w:eastAsia="宋体"/></w:rPr><w:t xml:space="preserve">二星(敏感)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+20%</w:t></w:r></w:p></w:tc><w:tc><w:p><w:pPr><w:jc w:val="center"/><w:spacing w:after="0" w:before="0"/></w:pPr><w:r><w:rPr><w:sz w:val="20"/><w:rFonts w:ascii="宋体" w:hAnsi="宋体" w:eastAsia="宋体"/></w:rPr><w:t xml:space="preserve">0.6</w:t></w:r></w:p></w:tc><w:tc><w:p><w:pPr><w:jc w:val="center"/><w:spacing w:after="0" w:before="0"/></w:pPr><w:r><w:rPr><w:sz w:val="20"/><w:rFonts w:ascii="宋体" w:hAnsi="宋体" w:eastAsia="宋体"/></w:rPr><w:t xml:space="preserve">无变化</w:t></w:r></w:p></w:tc><w:tc><w:p><w:pPr><w:jc w:val="center"/><w:spacing w:after="0" w:before="0"/></w:pPr><w:r><w:rPr><w:sz w:val="20"/><w:rFonts w:ascii="宋体" w:hAnsi="宋体" w:eastAsia="宋体"/></w:rPr><w:t xml:space="preserve">五星(最稳健)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-10%</w:t></w:r></w:p></w:tc><w:tc><w:p><w:pPr><w:jc w:val="center"/><w:spacing w:after="0" w:before="0"/></w:pPr><w:r><w:rPr><w:sz w:val="20"/><w:rFonts w:ascii="宋体" w:hAnsi="宋体" w:eastAsia="宋体"/></w:rPr><w:t xml:space="preserve">225</w:t></w:r></w:p></w:tc><w:tc><w:p><w:pPr><w:jc w:val="center"/><w:spacing w:after="0" w:before="0"/></w:pPr><w:r><w:rPr><w:sz w:val="20"/><w:rFonts w:ascii="宋体" w:hAnsi="宋体" w:eastAsia="宋体"/></w:rPr><w:t xml:space="preserve">X:连通->不连通</w:t></w:r></w:p></w:tc><w:tc><w:p><w:pPr><w:jc w:val="center"/><w:spacing w:after="0" w:before="0"/></w:pPr><w:r><w:rPr><w:sz w:val="20"/><w:rFonts w:ascii="宋体" w:hAnsi="宋体" w:eastAsia="宋体"/></w:rPr><w:t xml:space="preserve">二星(敏感)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+10%</w:t></w:r></w:p></w:tc><w:tc><w:p><w:pPr><w:jc w:val="center"/><w:spacing w:after="0" w:before="0"/></w:pPr><w:r><w:rPr><w:sz w:val="20"/><w:rFonts w:ascii="宋体" w:hAnsi="宋体" w:eastAsia="宋体"/></w:rPr><w:t xml:space="preserve">275</w:t></w:r></w:p></w:tc><w:tc><w:p><w:pPr><w:jc w:val="center"/><w:spacing w:after="0" w:before="0"/></w:pPr><w:r><w:rPr><w:sz w:val="20"/><w:rFonts w:ascii="宋体" w:hAnsi="宋体" w:eastAsia="宋体"/></w:rPr><w:t xml:space="preserve">无变化</w:t></w:r></w:p></w:tc><w:tc><w:p><w:pPr><w:jc w:val="center"/><w:spacing w:after="0" w:before="0"/></w:pPr><w:r><w:rPr><w:sz w:val="20"/><w:rFonts w:ascii="宋体" w:hAnsi="宋体" w:eastAsia="宋体"/></w:rPr><w:t xml:space="preserve">五星(最稳健)</w:t></w:r></w:p></w:tc></w:tr></w:tbl><w:p><w:pPr><w:spacing w:after="80" w:before="0"/></w:pPr><w:r><w:rPr><w:sz w:val="18"/><w:rFonts w:ascii="宋体" w:hAnsi="宋体" w:eastAsia="宋体"/></w:rPr><w:t xml:space="preserve"></w:t></w:r></w:p><w:p><w:pPr><w:spacing w:after="60" w:before="0"/><w:ind w:firstLine="480"/></w:pPr><w:r><w:rPr><w:sz w:val="22"/><w:rFonts w:ascii="宋体" w:hAnsi="宋体" w:eastAsia="宋体"/></w:rPr><w:t xml:space="preserve">组3_A的X方向在alpha<=0.4或r0<=225时发生连通->不连通翻转。这并非模型缺陷——恰恰证明该数据集在X方向上处于逾渗临界区。在临界点附近连通性对参数敏感是逾渗理论的本质特征(临界指数发散)。建议若工程需X方向可靠导电，略微增加填料含量以远离临界区。</w:t></w:r></w:p><w:p><w:pPr><w:spacing w:after="120" w:before="240"/></w:pPr><w:r><w:rPr><w:b/><w:sz w:val="28"/><w:rFonts w:ascii="黑体" w:hAnsi="黑体" w:eastAsia="黑体"/></w:rPr><w:t xml:space="preserve">模块四：结果深度分析与讨论</w:t></w:r></w:p><w:p><w:pPr><w:spacing w:after="80" w:before="160"/></w:pPr><w:r><w:rPr><w:b/><w:sz w:val="24"/><w:rFonts w:ascii="黑体" w:hAnsi="黑体" w:eastAsia="黑体"/></w:rPr><w:t xml:space="preserve">4.1 基础数值分析</w:t></w:r></w:p><w:p><w:pPr><w:spacing w:after="60" w:before="0"/><w:ind w:firstLine="480"/></w:pPr><w:r><w:rPr><w:sz w:val="22"/><w:rFonts w:ascii="宋体" w:hAnsi="宋体" w:eastAsia="宋体"/></w:rPr><w:t xml:space="preserve">组1(N=12,填充率约0.08%)在两种场景下均为全方向绝缘——填充率远低于逾渗阈值(球体连续逾渗临界体积分数约0.29乘球体体积比)。组2(N=49,填充率约0.32%)接近但未稳定达到逾渗临界点——仅场景A在X方向单向连通，且该连通对PAGCM的alpha参数高度敏感。组3(N=535,填充率约3.5%)实现三维导电——Y/Z方向连通概率100%极为鲁棒，但X方向仅75.5%表明该方向处于逾渗临界区，需增加约10%填料量以提升至>=95%可靠度。</w:t></w:r></w:p><w:p><w:pPr><w:spacing w:after="80" w:before="160"/></w:pPr><w:r><w:rPr><w:b/><w:sz w:val="24"/><w:rFonts w:ascii="黑体" w:hAnsi="黑体" w:eastAsia="黑体"/></w:rPr><w:t xml:space="preserve">4.2 深层机理分析</w:t></w:r></w:p><w:p><w:pPr><w:spacing w:after="60" w:before="0"/><w:ind w:firstLine="480"/></w:pPr><w:r><w:rPr><w:sz w:val="22"/><w:rFonts w:ascii="宋体" w:hAnsi="宋体" w:eastAsia="宋体"/></w:rPr><w:t xml:space="preserve">PAGCM结果完美符合逾渗理论的三阶段图景：(1)亚临界区——组1(填充率远低于临界值)，粒子形成孤立团簇，无贯穿路径。(2)临界区——组3(接近但高于临界值)，出现三方贯穿但连通概率对参数敏感，连通分量呈分形结构(384个分量，最大簇仅30粒子)——这是逾渗临界区的典型特征。(3)各向异性——组2场景A中仅X方向连通，说明粒子在X方向存在微弱链化排列，可以在低于各向同性逾渗阈值的条件下实现方向性导电。Y/Z方向连通概率100%说明逾渗网络已充分形成且存在冗余路径，而X方向仅存在极少导电路径，任何连接的断裂都会导致贯穿丧失。</w:t></w:r></w:p><w:p><w:pPr><w:spacing w:after="80" w:before="160"/></w:pPr><w:r><w:rPr><w:b/><w:sz w:val="24"/><w:rFonts w:ascii="黑体" w:hAnsi="黑体" w:eastAsia="黑体"/></w:rPr><w:t xml:space="preserve">4.3 应用延伸分析</w:t></w:r></w:p><w:p><w:pPr><w:spacing w:after="60" w:before="0"/><w:ind w:firstLine="480"/></w:pPr><w:r><w:rPr><w:sz w:val="22"/><w:rFonts w:ascii="宋体" w:hAnsi="宋体" w:eastAsia="宋体"/></w:rPr><w:t xml:space="preserve">配方设计建议：(1)组1场景(12粒子，填充率约0.08%)——建议增加至>=200粒子(填充率约1.3%)，或采用高长径比填料(如碳纳米管替代球状颗粒)以降低逾渗阈值。(2)组2场景(49粒子，填充率约0.32%)——若仅需单向导电(X方向)可满足需求，前提是能控制粒子空间分布以实现方向性排列；若需三维导电建议增加至>=200粒子。(3)组3场景(535粒子，三维导电已实现)——建议增加10%填料量至约590粒子使X方向连通概率>=99%，提升工程安全裕度。模型推广性：PAGCM的方法论(空间索引+密度感知+周期拓扑嵌入)可推广至热导率逾渗、力学增强网络、多孔介质渗流等涉及连通性判定的广泛工程问题。</w:t></w:r></w:p></w:body>
</w:document>
</file>

<file path=word/_rels/document.xml.rels><?xml version="1.0" encoding="UTF-8" standalone="yes"?>
<Relationships xmlns="http://schemas.openxmlformats.org/package/2006/relationships">
</Relationships>
</file>