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<w:p><w:pPr><w:jc w:val="center"/><w:spacing w:after="200" w:before="0"/></w:pPr><w:r><w:rPr><w:b/><w:sz w:val="32"/><w:rFonts w:ascii="黑体" w:hAnsi="黑体" w:eastAsia="黑体"/></w:rPr><w:t xml:space="preserve">第三、四问 MS-PAGCM与MOEA-D-PAGCM 完整建模报告</w:t></w:r></w:p><w:p><w:pPr><w:spacing w:after="120" w:before="240"/></w:pPr><w:r><w:rPr><w:b/><w:sz w:val="28"/><w:rFonts w:ascii="黑体" w:hAnsi="黑体" w:eastAsia="黑体"/></w:rPr><w:t xml:space="preserve">第三问 · MS-PAGCM 多尺度周期自适应图连通敏感性分析模型</w:t></w:r></w:p><w:p><w:pPr><w:spacing w:after="60" w:before="0"/><w:ind w:firstLine="480"/></w:pPr><w:r><w:rPr><w:sz w:val="22"/><w:rFonts w:ascii="宋体" w:hAnsi="宋体" w:eastAsia="宋体"/></w:rPr><w:t xml:space="preserve">创新方向：① 算法改进创新。在PAGCM核心算法上进行三层架构升级：(1)多分散性支持——将单一r0替换为粒径分布P(r; mu_r, CV_r)，每个粒子独立采样半径；(2)Sobol全局敏感性——用基于方差的Sobol分解量化每个参数对P_conn方差的独立贡献(S1)和总贡献(ST)；(3)分尺度分析架构——将导电网络分为微观(单粒子尺度)、介观(团簇尺度)、宏观(RVE尺度)三个空间尺度分别分析。</w:t></w:r></w:p><w:p><w:pPr><w:spacing w:after="80" w:before="160"/></w:pPr><w:r><w:rPr><w:b/><w:sz w:val="24"/><w:rFonts w:ascii="黑体" w:hAnsi="黑体" w:eastAsia="黑体"/></w:rPr><w:t xml:space="preserve">Q3 模块一：模型建立与公式推导</w:t></w:r></w:p><w:p><w:pPr><w:jc w:val="center"/><w:spacing w:after="60" w:before="0"/></w:pPr><w:r><w:rPr><w:b/><w:sz w:val="20"/><w:rFonts w:ascii="宋体" w:hAnsi="宋体" w:eastAsia="宋体"/></w:rPr><w:t xml:space="preserve">表3-1 Q3 Sobol敏感性分析6参数空间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含义</w:t></w:r></w:p></w:tc><w:tc><w:p><w:pPr><w:jc w:val="center"/><w:spacing w:after="0" w:before="0"/></w:pPr><w:r><w:rPr><w:b/><w:sz w:val="20"/><w:rFonts w:ascii="宋体" w:hAnsi="宋体" w:eastAsia="宋体"/></w:rPr><w:t xml:space="preserve">范围</w:t></w:r></w:p></w:tc><w:tc><w:p><w:pPr><w:jc w:val="center"/><w:spacing w:after="0" w:before="0"/></w:pPr><w:r><w:rPr><w:b/><w:sz w:val="20"/><w:rFonts w:ascii="宋体" w:hAnsi="宋体" w:eastAsia="宋体"/></w:rPr><w:t xml:space="preserve">默认值</w:t></w:r></w:p></w:tc><w:tc><w:p><w:pPr><w:jc w:val="center"/><w:spacing w:after="0" w:before="0"/></w:pPr><w:r><w:rPr><w:b/><w:sz w:val="20"/><w:rFonts w:ascii="宋体" w:hAnsi="宋体" w:eastAsia="宋体"/></w:rPr><w:t xml:space="preserve">尺度</w:t></w:r></w:p></w:tc><w:tc><w:p><w:pPr><w:jc w:val="center"/><w:spacing w:after="0" w:before="0"/></w:pPr><w:r><w:rPr><w:b/><w:sz w:val="20"/><w:rFonts w:ascii="宋体" w:hAnsi="宋体" w:eastAsia="宋体"/></w:rPr><w:t xml:space="preserve">取值依据</w:t></w:r></w:p></w:tc></w:tr><w:tr><w:tc><w:p><w:pPr><w:jc w:val="center"/><w:spacing w:after="0" w:before="0"/></w:pPr><w:r><w:rPr><w:sz w:val="20"/><w:rFonts w:ascii="宋体" w:hAnsi="宋体" w:eastAsia="宋体"/></w:rPr><w:t xml:space="preserve">mu_r</w:t></w:r></w:p></w:tc><w:tc><w:p><w:pPr><w:jc w:val="center"/><w:spacing w:after="0" w:before="0"/></w:pPr><w:r><w:rPr><w:sz w:val="20"/><w:rFonts w:ascii="宋体" w:hAnsi="宋体" w:eastAsia="宋体"/></w:rPr><w:t xml:space="preserve">平均粒径</w:t></w:r></w:p></w:tc><w:tc><w:p><w:pPr><w:jc w:val="center"/><w:spacing w:after="0" w:before="0"/></w:pPr><w:r><w:rPr><w:sz w:val="20"/><w:rFonts w:ascii="宋体" w:hAnsi="宋体" w:eastAsia="宋体"/></w:rPr><w:t xml:space="preserve">[100,500]</w:t></w:r></w:p></w:tc><w:tc><w:p><w:pPr><w:jc w:val="center"/><w:spacing w:after="0" w:before="0"/></w:pPr><w:r><w:rPr><w:sz w:val="20"/><w:rFonts w:ascii="宋体" w:hAnsi="宋体" w:eastAsia="宋体"/></w:rPr><w:t xml:space="preserve">250</w:t></w:r></w:p></w:tc><w:tc><w:p><w:pPr><w:jc w:val="center"/><w:spacing w:after="0" w:before="0"/></w:pPr><w:r><w:rPr><w:sz w:val="20"/><w:rFonts w:ascii="宋体" w:hAnsi="宋体" w:eastAsia="宋体"/></w:rPr><w:t xml:space="preserve">微观</w:t></w:r></w:p></w:tc><w:tc><w:p><w:pPr><w:jc w:val="center"/><w:spacing w:after="0" w:before="0"/></w:pPr><w:r><w:rPr><w:sz w:val="20"/><w:rFonts w:ascii="宋体" w:hAnsi="宋体" w:eastAsia="宋体"/></w:rPr><w:t xml:space="preserve">基准r0=250，扫描+/-60%范围</w:t></w:r></w:p></w:tc></w:tr><w:tr><w:tc><w:p><w:pPr><w:jc w:val="center"/><w:spacing w:after="0" w:before="0"/></w:pPr><w:r><w:rPr><w:sz w:val="20"/><w:rFonts w:ascii="宋体" w:hAnsi="宋体" w:eastAsia="宋体"/></w:rPr><w:t xml:space="preserve">CV_r</w:t></w:r></w:p></w:tc><w:tc><w:p><w:pPr><w:jc w:val="center"/><w:spacing w:after="0" w:before="0"/></w:pPr><w:r><w:rPr><w:sz w:val="20"/><w:rFonts w:ascii="宋体" w:hAnsi="宋体" w:eastAsia="宋体"/></w:rPr><w:t xml:space="preserve">粒径变异系数</w:t></w:r></w:p></w:tc><w:tc><w:p><w:pPr><w:jc w:val="center"/><w:spacing w:after="0" w:before="0"/></w:pPr><w:r><w:rPr><w:sz w:val="20"/><w:rFonts w:ascii="宋体" w:hAnsi="宋体" w:eastAsia="宋体"/></w:rPr><w:t xml:space="preserve">[0,0.5]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微观</w:t></w:r></w:p></w:tc><w:tc><w:p><w:pPr><w:jc w:val="center"/><w:spacing w:after="0" w:before="0"/></w:pPr><w:r><w:rPr><w:sz w:val="20"/><w:rFonts w:ascii="宋体" w:hAnsi="宋体" w:eastAsia="宋体"/></w:rPr><w:t xml:space="preserve">0=单分散，0.5=高度多分散(粒径比约4:1)</w:t></w:r></w:p></w:tc></w:tr><w:tr><w:tc><w:p><w:pPr><w:jc w:val="center"/><w:spacing w:after="0" w:before="0"/></w:pPr><w:r><w:rPr><w:sz w:val="20"/><w:rFonts w:ascii="宋体" w:hAnsi="宋体" w:eastAsia="宋体"/></w:rPr><w:t xml:space="preserve">s</w:t></w:r></w:p></w:tc><w:tc><w:p><w:pPr><w:jc w:val="center"/><w:spacing w:after="0" w:before="0"/></w:pPr><w:r><w:rPr><w:sz w:val="20"/><w:rFonts w:ascii="宋体" w:hAnsi="宋体" w:eastAsia="宋体"/></w:rPr><w:t xml:space="preserve">形状因子</w:t></w:r></w:p></w:tc><w:tc><w:p><w:pPr><w:jc w:val="center"/><w:spacing w:after="0" w:before="0"/></w:pPr><w:r><w:rPr><w:sz w:val="20"/><w:rFonts w:ascii="宋体" w:hAnsi="宋体" w:eastAsia="宋体"/></w:rPr><w:t xml:space="preserve">[0.5,2.0]</w:t></w:r></w:p></w:tc><w:tc><w:p><w:pPr><w:jc w:val="center"/><w:spacing w:after="0" w:before="0"/></w:pPr><w:r><w:rPr><w:sz w:val="20"/><w:rFonts w:ascii="宋体" w:hAnsi="宋体" w:eastAsia="宋体"/></w:rPr><w:t xml:space="preserve">1.0</w:t></w:r></w:p></w:tc><w:tc><w:p><w:pPr><w:jc w:val="center"/><w:spacing w:after="0" w:before="0"/></w:pPr><w:r><w:rPr><w:sz w:val="20"/><w:rFonts w:ascii="宋体" w:hAnsi="宋体" w:eastAsia="宋体"/></w:rPr><w:t xml:space="preserve">微观</w:t></w:r></w:p></w:tc><w:tc><w:p><w:pPr><w:jc w:val="center"/><w:spacing w:after="0" w:before="0"/></w:pPr><w:r><w:rPr><w:sz w:val="20"/><w:rFonts w:ascii="宋体" w:hAnsi="宋体" w:eastAsia="宋体"/></w:rPr><w:t xml:space="preserve">1=球体，>1=棒状(碳管)，<1=片状(石墨烯)</w:t></w:r></w:p></w:tc></w:tr><w:tr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PAGCM自适应系数</w:t></w:r></w:p></w:tc><w:tc><w:p><w:pPr><w:jc w:val="center"/><w:spacing w:after="0" w:before="0"/></w:pPr><w:r><w:rPr><w:sz w:val="20"/><w:rFonts w:ascii="宋体" w:hAnsi="宋体" w:eastAsia="宋体"/></w:rPr><w:t xml:space="preserve">[0,2]</w:t></w:r></w:p></w:tc><w:tc><w:p><w:pPr><w:jc w:val="center"/><w:spacing w:after="0" w:before="0"/></w:pPr><w:r><w:rPr><w:sz w:val="20"/><w:rFonts w:ascii="宋体" w:hAnsi="宋体" w:eastAsia="宋体"/></w:rPr><w:t xml:space="preserve">0.5</w:t></w:r></w:p></w:tc><w:tc><w:p><w:pPr><w:jc w:val="center"/><w:spacing w:after="0" w:before="0"/></w:pPr><w:r><w:rPr><w:sz w:val="20"/><w:rFonts w:ascii="宋体" w:hAnsi="宋体" w:eastAsia="宋体"/></w:rPr><w:t xml:space="preserve">介观</w:t></w:r></w:p></w:tc><w:tc><w:p><w:pPr><w:jc w:val="center"/><w:spacing w:after="0" w:before="0"/></w:pPr><w:r><w:rPr><w:sz w:val="20"/><w:rFonts w:ascii="宋体" w:hAnsi="宋体" w:eastAsia="宋体"/></w:rPr><w:t xml:space="preserve">与Q1/Q2一致，0=退化为固定半径GPNM</w:t></w:r></w:p></w:tc></w:tr><w:tr><w:tc><w:p><w:pPr><w:jc w:val="center"/><w:spacing w:after="0" w:before="0"/></w:pPr><w:r><w:rPr><w:sz w:val="20"/><w:rFonts w:ascii="宋体" w:hAnsi="宋体" w:eastAsia="宋体"/></w:rPr><w:t xml:space="preserve">phi</w:t></w:r></w:p></w:tc><w:tc><w:p><w:pPr><w:jc w:val="center"/><w:spacing w:after="0" w:before="0"/></w:pPr><w:r><w:rPr><w:sz w:val="20"/><w:rFonts w:ascii="宋体" w:hAnsi="宋体" w:eastAsia="宋体"/></w:rPr><w:t xml:space="preserve">体积填充率</w:t></w:r></w:p></w:tc><w:tc><w:p><w:pPr><w:jc w:val="center"/><w:spacing w:after="0" w:before="0"/></w:pPr><w:r><w:rPr><w:sz w:val="20"/><w:rFonts w:ascii="宋体" w:hAnsi="宋体" w:eastAsia="宋体"/></w:rPr><w:t xml:space="preserve">[0.001,0.05]</w:t></w:r></w:p></w:tc><w:tc><w:p><w:pPr><w:jc w:val="center"/><w:spacing w:after="0" w:before="0"/></w:pPr><w:r><w:rPr><w:sz w:val="20"/><w:rFonts w:ascii="宋体" w:hAnsi="宋体" w:eastAsia="宋体"/></w:rPr><w:t xml:space="preserve">0.01</w:t></w:r></w:p></w:tc><w:tc><w:p><w:pPr><w:jc w:val="center"/><w:spacing w:after="0" w:before="0"/></w:pPr><w:r><w:rPr><w:sz w:val="20"/><w:rFonts w:ascii="宋体" w:hAnsi="宋体" w:eastAsia="宋体"/></w:rPr><w:t xml:space="preserve">宏观</w:t></w:r></w:p></w:tc><w:tc><w:p><w:pPr><w:jc w:val="center"/><w:spacing w:after="0" w:before="0"/></w:pPr><w:r><w:rPr><w:sz w:val="20"/><w:rFonts w:ascii="宋体" w:hAnsi="宋体" w:eastAsia="宋体"/></w:rPr><w:t xml:space="preserve">Q1中组1约0.0008，组3约0.035</w:t></w:r></w:p></w:tc></w:tr><w:tr><w:tc><w:p><w:pPr><w:jc w:val="center"/><w:spacing w:after="0" w:before="0"/></w:pPr><w:r><w:rPr><w:sz w:val="20"/><w:rFonts w:ascii="宋体" w:hAnsi="宋体" w:eastAsia="宋体"/></w:rPr><w:t xml:space="preserve">strategy</w:t></w:r></w:p></w:tc><w:tc><w:p><w:pPr><w:jc w:val="center"/><w:spacing w:after="0" w:before="0"/></w:pPr><w:r><w:rPr><w:sz w:val="20"/><w:rFonts w:ascii="宋体" w:hAnsi="宋体" w:eastAsia="宋体"/></w:rPr><w:t xml:space="preserve">排布策略</w:t></w:r></w:p></w:tc><w:tc><w:p><w:pPr><w:jc w:val="center"/><w:spacing w:after="0" w:before="0"/></w:pPr><w:r><w:rPr><w:sz w:val="20"/><w:rFonts w:ascii="宋体" w:hAnsi="宋体" w:eastAsia="宋体"/></w:rPr><w:t xml:space="preserve">{0,1,2,3}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介观</w:t></w:r></w:p></w:tc><w:tc><w:p><w:pPr><w:jc w:val="center"/><w:spacing w:after="0" w:before="0"/></w:pPr><w:r><w:rPr><w:sz w:val="20"/><w:rFonts w:ascii="宋体" w:hAnsi="宋体" w:eastAsia="宋体"/></w:rPr><w:t xml:space="preserve">0=随机,1=链状,2=层状,3=MaxEnt</w:t></w:r></w:p></w:tc></w:tr></w:tbl><w:p><w:pPr><w:spacing w:after="80" w:before="0"/></w:pPr><w:r><w:rPr><w:sz w:val="18"/><w:rFonts w:ascii="宋体" w:hAnsi="宋体" w:eastAsia="宋体"/></w:rPr><w:t xml:space="preserve"></w:t></w:r></w:p><w:p><w:pPr><w:spacing w:after="80" w:before="160"/></w:pPr><w:r><w:rPr><w:b/><w:sz w:val="24"/><w:rFonts w:ascii="黑体" w:hAnsi="黑体" w:eastAsia="黑体"/></w:rPr><w:t xml:space="preserve">Q3 模块二：求解与结果呈现</w:t></w:r></w:p><w:p><w:pPr><w:spacing w:after="60" w:before="0"/><w:ind w:firstLine="480"/></w:pPr><w:r><w:rPr><w:sz w:val="22"/><w:rFonts w:ascii="宋体" w:hAnsi="宋体" w:eastAsia="宋体"/></w:rPr><w:t xml:space="preserve">求解方法：生成Hammersley低差异序列(N_s=500，6维)作为Sobol样本矩阵的近似；对每个样本运行代理PAGCM评估得到P_conn；基于500次评估结果计算一阶S1和全阶ST Sobol指数；Bootstrap 500次计算95%置信区间。同时运行OAT(一次一变法)作为对比基准。</w:t></w:r></w:p><w:p><w:pPr><w:jc w:val="center"/><w:spacing w:after="60" w:before="0"/></w:pPr><w:r><w:rPr><w:b/><w:sz w:val="20"/><w:rFonts w:ascii="宋体" w:hAnsi="宋体" w:eastAsia="宋体"/></w:rPr><w:t xml:space="preserve">表3-2 Sobol敏感性指数结果（500样本，Bootstrap 500次）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S1一阶指数</w:t></w:r></w:p></w:tc><w:tc><w:p><w:pPr><w:jc w:val="center"/><w:spacing w:after="0" w:before="0"/></w:pPr><w:r><w:rPr><w:b/><w:sz w:val="20"/><w:rFonts w:ascii="宋体" w:hAnsi="宋体" w:eastAsia="宋体"/></w:rPr><w:t xml:space="preserve">ST全阶指数</w:t></w:r></w:p></w:tc><w:tc><w:p><w:pPr><w:jc w:val="center"/><w:spacing w:after="0" w:before="0"/></w:pPr><w:r><w:rPr><w:b/><w:sz w:val="20"/><w:rFonts w:ascii="宋体" w:hAnsi="宋体" w:eastAsia="宋体"/></w:rPr><w:t xml:space="preserve">交互效应(ST-S1)</w:t></w:r></w:p></w:tc><w:tc><w:p><w:pPr><w:jc w:val="center"/><w:spacing w:after="0" w:before="0"/></w:pPr><w:r><w:rPr><w:b/><w:sz w:val="20"/><w:rFonts w:ascii="宋体" w:hAnsi="宋体" w:eastAsia="宋体"/></w:rPr><w:t xml:space="preserve">OAT效应</w:t></w:r></w:p></w:tc><w:tc><w:p><w:pPr><w:jc w:val="center"/><w:spacing w:after="0" w:before="0"/></w:pPr><w:r><w:rPr><w:b/><w:sz w:val="20"/><w:rFonts w:ascii="宋体" w:hAnsi="宋体" w:eastAsia="宋体"/></w:rPr><w:t xml:space="preserve">显著性</w:t></w:r></w:p></w:tc></w:tr><w:tr><w:tc><w:p><w:pPr><w:jc w:val="center"/><w:spacing w:after="0" w:before="0"/></w:pPr><w:r><w:rPr><w:sz w:val="20"/><w:rFonts w:ascii="宋体" w:hAnsi="宋体" w:eastAsia="宋体"/></w:rPr><w:t xml:space="preserve">mu_r</w:t></w:r></w:p></w:tc><w:tc><w:p><w:pPr><w:jc w:val="center"/><w:spacing w:after="0" w:before="0"/></w:pPr><w:r><w:rPr><w:sz w:val="20"/><w:rFonts w:ascii="宋体" w:hAnsi="宋体" w:eastAsia="宋体"/></w:rPr><w:t xml:space="preserve">0.080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0.959</w:t></w:r></w:p></w:tc><w:tc><w:p><w:pPr><w:jc w:val="center"/><w:spacing w:after="0" w:before="0"/></w:pPr><w:r><w:rPr><w:sz w:val="20"/><w:rFonts w:ascii="宋体" w:hAnsi="宋体" w:eastAsia="宋体"/></w:rPr><w:t xml:space="preserve">0.137</w:t></w:r></w:p></w:tc><w:tc><w:p><w:pPr><w:jc w:val="center"/><w:spacing w:after="0" w:before="0"/></w:pPr><w:r><w:rPr><w:sz w:val="20"/><w:rFonts w:ascii="宋体" w:hAnsi="宋体" w:eastAsia="宋体"/></w:rPr><w:t xml:space="preserve">*** 显著</w:t></w:r></w:p></w:tc></w:tr><w:tr><w:tc><w:p><w:pPr><w:jc w:val="center"/><w:spacing w:after="0" w:before="0"/></w:pPr><w:r><w:rPr><w:sz w:val="20"/><w:rFonts w:ascii="宋体" w:hAnsi="宋体" w:eastAsia="宋体"/></w:rPr><w:t xml:space="preserve">CV_r</w:t></w:r></w:p></w:tc><w:tc><w:p><w:pPr><w:jc w:val="center"/><w:spacing w:after="0" w:before="0"/></w:pPr><w:r><w:rPr><w:sz w:val="20"/><w:rFonts w:ascii="宋体" w:hAnsi="宋体" w:eastAsia="宋体"/></w:rPr><w:t xml:space="preserve">0.054</w:t></w:r></w:p></w:tc><w:tc><w:p><w:pPr><w:jc w:val="center"/><w:spacing w:after="0" w:before="0"/></w:pPr><w:r><w:rPr><w:sz w:val="20"/><w:rFonts w:ascii="宋体" w:hAnsi="宋体" w:eastAsia="宋体"/></w:rPr><w:t xml:space="preserve">0.960</w:t></w:r></w:p></w:tc><w:tc><w:p><w:pPr><w:jc w:val="center"/><w:spacing w:after="0" w:before="0"/></w:pPr><w:r><w:rPr><w:sz w:val="20"/><w:rFonts w:ascii="宋体" w:hAnsi="宋体" w:eastAsia="宋体"/></w:rPr><w:t xml:space="preserve">0.965</w:t></w:r></w:p></w:tc><w:tc><w:p><w:pPr><w:jc w:val="center"/><w:spacing w:after="0" w:before="0"/></w:pPr><w:r><w:rPr><w:sz w:val="20"/><w:rFonts w:ascii="宋体" w:hAnsi="宋体" w:eastAsia="宋体"/></w:rPr><w:t xml:space="preserve">0.087</w:t></w:r></w:p></w:tc><w:tc><w:p><w:pPr><w:jc w:val="center"/><w:spacing w:after="0" w:before="0"/></w:pPr><w:r><w:rPr><w:sz w:val="20"/><w:rFonts w:ascii="宋体" w:hAnsi="宋体" w:eastAsia="宋体"/></w:rPr><w:t xml:space="preserve">*** 显著</w:t></w:r></w:p></w:tc></w:tr><w:tr><w:tc><w:p><w:pPr><w:jc w:val="center"/><w:spacing w:after="0" w:before="0"/></w:pPr><w:r><w:rPr><w:sz w:val="20"/><w:rFonts w:ascii="宋体" w:hAnsi="宋体" w:eastAsia="宋体"/></w:rPr><w:t xml:space="preserve">s</w:t></w:r></w:p></w:tc><w:tc><w:p><w:pPr><w:jc w:val="center"/><w:spacing w:after="0" w:before="0"/></w:pPr><w:r><w:rPr><w:sz w:val="20"/><w:rFonts w:ascii="宋体" w:hAnsi="宋体" w:eastAsia="宋体"/></w:rPr><w:t xml:space="preserve">0.062</w:t></w:r></w:p></w:tc><w:tc><w:p><w:pPr><w:jc w:val="center"/><w:spacing w:after="0" w:before="0"/></w:pPr><w:r><w:rPr><w:sz w:val="20"/><w:rFonts w:ascii="宋体" w:hAnsi="宋体" w:eastAsia="宋体"/></w:rPr><w:t xml:space="preserve">0.934</w:t></w:r></w:p></w:tc><w:tc><w:p><w:pPr><w:jc w:val="center"/><w:spacing w:after="0" w:before="0"/></w:pPr><w:r><w:rPr><w:sz w:val="20"/><w:rFonts w:ascii="宋体" w:hAnsi="宋体" w:eastAsia="宋体"/></w:rPr><w:t xml:space="preserve">0.949</w:t></w:r></w:p></w:tc><w:tc><w:p><w:pPr><w:jc w:val="center"/><w:spacing w:after="0" w:before="0"/></w:pPr><w:r><w:rPr><w:sz w:val="20"/><w:rFonts w:ascii="宋体" w:hAnsi="宋体" w:eastAsia="宋体"/></w:rPr><w:t xml:space="preserve">0.192</w:t></w:r></w:p></w:tc><w:tc><w:p><w:pPr><w:jc w:val="center"/><w:spacing w:after="0" w:before="0"/></w:pPr><w:r><w:rPr><w:sz w:val="20"/><w:rFonts w:ascii="宋体" w:hAnsi="宋体" w:eastAsia="宋体"/></w:rPr><w:t xml:space="preserve">*** 显著</w:t></w:r></w:p></w:tc></w:tr><w:tr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0.069</w:t></w:r></w:p></w:tc><w:tc><w:p><w:pPr><w:jc w:val="center"/><w:spacing w:after="0" w:before="0"/></w:pPr><w:r><w:rPr><w:sz w:val="20"/><w:rFonts w:ascii="宋体" w:hAnsi="宋体" w:eastAsia="宋体"/></w:rPr><w:t xml:space="preserve">0.903</w:t></w:r></w:p></w:tc><w:tc><w:p><w:pPr><w:jc w:val="center"/><w:spacing w:after="0" w:before="0"/></w:pPr><w:r><w:rPr><w:sz w:val="20"/><w:rFonts w:ascii="宋体" w:hAnsi="宋体" w:eastAsia="宋体"/></w:rPr><w:t xml:space="preserve">0.929</w:t></w:r></w:p></w:tc><w:tc><w:p><w:pPr><w:jc w:val="center"/><w:spacing w:after="0" w:before="0"/></w:pPr><w:r><w:rPr><w:sz w:val="20"/><w:rFonts w:ascii="宋体" w:hAnsi="宋体" w:eastAsia="宋体"/></w:rPr><w:t xml:space="preserve">0.037</w:t></w:r></w:p></w:tc><w:tc><w:p><w:pPr><w:jc w:val="center"/><w:spacing w:after="0" w:before="0"/></w:pPr><w:r><w:rPr><w:sz w:val="20"/><w:rFonts w:ascii="宋体" w:hAnsi="宋体" w:eastAsia="宋体"/></w:rPr><w:t xml:space="preserve">*** 显著</w:t></w:r></w:p></w:tc></w:tr><w:tr><w:tc><w:p><w:pPr><w:jc w:val="center"/><w:spacing w:after="0" w:before="0"/></w:pPr><w:r><w:rPr><w:sz w:val="20"/><w:rFonts w:ascii="宋体" w:hAnsi="宋体" w:eastAsia="宋体"/></w:rPr><w:t xml:space="preserve">phi</w:t></w:r></w:p></w:tc><w:tc><w:p><w:pPr><w:jc w:val="center"/><w:spacing w:after="0" w:before="0"/></w:pPr><w:r><w:rPr><w:sz w:val="20"/><w:rFonts w:ascii="宋体" w:hAnsi="宋体" w:eastAsia="宋体"/></w:rPr><w:t xml:space="preserve">0.854</w:t></w:r></w:p></w:tc><w:tc><w:p><w:pPr><w:jc w:val="center"/><w:spacing w:after="0" w:before="0"/></w:pPr><w:r><w:rPr><w:sz w:val="20"/><w:rFonts w:ascii="宋体" w:hAnsi="宋体" w:eastAsia="宋体"/></w:rPr><w:t xml:space="preserve">0.877</w:t></w:r></w:p></w:tc><w:tc><w:p><w:pPr><w:jc w:val="center"/><w:spacing w:after="0" w:before="0"/></w:pPr><w:r><w:rPr><w:sz w:val="20"/><w:rFonts w:ascii="宋体" w:hAnsi="宋体" w:eastAsia="宋体"/></w:rPr><w:t xml:space="preserve">0.102</w:t></w:r></w:p></w:tc><w:tc><w:p><w:pPr><w:jc w:val="center"/><w:spacing w:after="0" w:before="0"/></w:pPr><w:r><w:rPr><w:sz w:val="20"/><w:rFonts w:ascii="宋体" w:hAnsi="宋体" w:eastAsia="宋体"/></w:rPr><w:t xml:space="preserve">0.350</w:t></w:r></w:p></w:tc><w:tc><w:p><w:pPr><w:jc w:val="center"/><w:spacing w:after="0" w:before="0"/></w:pPr><w:r><w:rPr><w:sz w:val="20"/><w:rFonts w:ascii="宋体" w:hAnsi="宋体" w:eastAsia="宋体"/></w:rPr><w:t xml:space="preserve">*** 显著</w:t></w:r></w:p></w:tc></w:tr><w:tr><w:tc><w:p><w:pPr><w:jc w:val="center"/><w:spacing w:after="0" w:before="0"/></w:pPr><w:r><w:rPr><w:sz w:val="20"/><w:rFonts w:ascii="宋体" w:hAnsi="宋体" w:eastAsia="宋体"/></w:rPr><w:t xml:space="preserve">strategy</w:t></w:r></w:p></w:tc><w:tc><w:p><w:pPr><w:jc w:val="center"/><w:spacing w:after="0" w:before="0"/></w:pPr><w:r><w:rPr><w:sz w:val="20"/><w:rFonts w:ascii="宋体" w:hAnsi="宋体" w:eastAsia="宋体"/></w:rPr><w:t xml:space="preserve">0.035</w:t></w:r></w:p></w:tc><w:tc><w:p><w:pPr><w:jc w:val="center"/><w:spacing w:after="0" w:before="0"/></w:pPr><w:r><w:rPr><w:sz w:val="20"/><w:rFonts w:ascii="宋体" w:hAnsi="宋体" w:eastAsia="宋体"/></w:rPr><w:t xml:space="preserve">0.442</w:t></w:r></w:p></w:tc><w:tc><w:p><w:pPr><w:jc w:val="center"/><w:spacing w:after="0" w:before="0"/></w:pPr><w:r><w:rPr><w:sz w:val="20"/><w:rFonts w:ascii="宋体" w:hAnsi="宋体" w:eastAsia="宋体"/></w:rPr><w:t xml:space="preserve">0.495</w:t></w:r></w:p></w:tc><w:tc><w:p><w:pPr><w:jc w:val="center"/><w:spacing w:after="0" w:before="0"/></w:pPr><w:r><w:rPr><w:sz w:val="20"/><w:rFonts w:ascii="宋体" w:hAnsi="宋体" w:eastAsia="宋体"/></w:rPr><w:t xml:space="preserve">0.097</w:t></w:r></w:p></w:tc><w:tc><w:p><w:pPr><w:jc w:val="center"/><w:spacing w:after="0" w:before="0"/></w:pPr><w:r><w:rPr><w:sz w:val="20"/><w:rFonts w:ascii="宋体" w:hAnsi="宋体" w:eastAsia="宋体"/></w:rPr><w:t xml:space="preserve">*** 显著</w:t></w:r></w:p></w:tc></w:tr></w:tbl><w:p><w:pPr><w:spacing w:after="80" w:before="0"/></w:pPr><w:r><w:rPr><w:sz w:val="18"/><w:rFonts w:ascii="宋体" w:hAnsi="宋体" w:eastAsia="宋体"/></w:rPr><w:t xml:space="preserve"></w:t></w:r></w:p><w:p><w:pPr><w:spacing w:after="80" w:before="160"/></w:pPr><w:r><w:rPr><w:b/><w:sz w:val="24"/><w:rFonts w:ascii="黑体" w:hAnsi="黑体" w:eastAsia="黑体"/></w:rPr><w:t xml:space="preserve">Q3 模块三：模型检验与验证</w:t></w:r></w:p><w:p><w:pPr><w:spacing w:after="60" w:before="0"/><w:ind w:firstLine="480"/></w:pPr><w:r><w:rPr><w:sz w:val="22"/><w:rFonts w:ascii="宋体" w:hAnsi="宋体" w:eastAsia="宋体"/></w:rPr><w:t xml:space="preserve">Bootstrap置信区间验证：S_T各参数的95%CI均远离0(最窄的strategy CI为[0.38,0.51])，全部参数通过显著性检验。OAT vs Sobol对比验证：OAT法将phi排为第一(效应0.350)，但Sobol全阶指数揭示mu_r(1.000)才是总效应最大的参数——OAT忽略了mu_r通过影响有效填充率phi_eff的间接路径。这验证了采用全局敏感性分析的必要性——若仅依赖OAT，会得出"填充率最重要"的误导性结论，而实际上粒径的综合影响(含交互效应)更为关键。交互效应总和4.40>>6(总参数数)，说明参数间存在强烈的协同效应，不能用独立效应简单加总。</w:t></w:r></w:p><w:p><w:pPr><w:spacing w:after="80" w:before="160"/></w:pPr><w:r><w:rPr><w:b/><w:sz w:val="24"/><w:rFonts w:ascii="黑体" w:hAnsi="黑体" w:eastAsia="黑体"/></w:rPr><w:t xml:space="preserve">Q3 模块四：结果分析与讨论</w:t></w:r></w:p><w:p><w:pPr><w:spacing w:after="60" w:before="0"/><w:ind w:firstLine="480"/></w:pPr><w:r><w:rPr><w:sz w:val="22"/><w:rFonts w:ascii="宋体" w:hAnsi="宋体" w:eastAsia="宋体"/></w:rPr><w:t xml:space="preserve">三尺度方差分解：微观尺度(mu_r+CV_r+s)贡献56.6%的总方差，介观尺度(alpha+strategy)贡献26.3%，宏观尺度(phi)贡献17.1%。工程建议：(1)控制粒径分布(CV_r)是调控导电性的最有效杠杆——粒径变异系数从0(单分散)增加到0.5可使有效填充率降低20%；(2)填充率(phi)的一阶独立效应最大(S1=0.854)，说明增加填料量是最直接的改善手段，但其总效应受其他参数交互调制；(3)排布策略(strategy)的独立效应最弱(0.035)但全阶效应显著(0.442)，说明其作为"免费"优化手段——在不增加填料量的前提下通过链状或MaxEnt排布即可显著提升连通性。</w:t></w:r></w:p><w:p><w:pPr><w:spacing w:after="120" w:before="240"/></w:pPr><w:r><w:rPr><w:b/><w:sz w:val="28"/><w:rFonts w:ascii="黑体" w:hAnsi="黑体" w:eastAsia="黑体"/></w:rPr><w:t xml:space="preserve">第四问 · MOEA/D-PAGCM 多目标进化分解优化模型</w:t></w:r></w:p><w:p><w:pPr><w:spacing w:after="60" w:before="0"/><w:ind w:firstLine="480"/></w:pPr><w:r><w:rPr><w:sz w:val="22"/><w:rFonts w:ascii="宋体" w:hAnsi="宋体" w:eastAsia="宋体"/></w:rPr><w:t xml:space="preserve">创新方向：③ 多模型融合组合创新。三模型融合：PAGCM(物理评估，复用Q1核心) + MOEA/D(多目标进化搜索，Zhang&Li 2007) + TOPSIS+熵权法(客观决策推荐)。一次运行产出完整Pareto前沿而非单一最优解。</w:t></w:r></w:p><w:p><w:pPr><w:spacing w:after="80" w:before="160"/></w:pPr><w:r><w:rPr><w:b/><w:sz w:val="24"/><w:rFonts w:ascii="黑体" w:hAnsi="黑体" w:eastAsia="黑体"/></w:rPr><w:t xml:space="preserve">Q4 模块一：模型建立</w:t></w:r></w:p><w:p><w:pPr><w:jc w:val="center"/><w:spacing w:after="60" w:before="0"/></w:pPr><w:r><w:rPr><w:b/><w:sz w:val="20"/><w:rFonts w:ascii="宋体" w:hAnsi="宋体" w:eastAsia="宋体"/></w:rPr><w:t xml:space="preserve">表4-1 MOEA/D-PAGCM四目标函数定义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目标</w:t></w:r></w:p></w:tc><w:tc><w:p><w:pPr><w:jc w:val="center"/><w:spacing w:after="0" w:before="0"/></w:pPr><w:r><w:rPr><w:b/><w:sz w:val="20"/><w:rFonts w:ascii="宋体" w:hAnsi="宋体" w:eastAsia="宋体"/></w:rPr><w:t xml:space="preserve">公式</w:t></w:r></w:p></w:tc><w:tc><w:p><w:pPr><w:jc w:val="center"/><w:spacing w:after="0" w:before="0"/></w:pPr><w:r><w:rPr><w:b/><w:sz w:val="20"/><w:rFonts w:ascii="宋体" w:hAnsi="宋体" w:eastAsia="宋体"/></w:rPr><w:t xml:space="preserve">物理含义</w:t></w:r></w:p></w:tc><w:tc><w:p><w:pPr><w:jc w:val="center"/><w:spacing w:after="0" w:before="0"/></w:pPr><w:r><w:rPr><w:b/><w:sz w:val="20"/><w:rFonts w:ascii="宋体" w:hAnsi="宋体" w:eastAsia="宋体"/></w:rPr><w:t xml:space="preserve">最小化方向</w:t></w:r></w:p></w:tc></w:tr><w:tr><w:tc><w:p><w:pPr><w:jc w:val="center"/><w:spacing w:after="0" w:before="0"/></w:pPr><w:r><w:rPr><w:sz w:val="20"/><w:rFonts w:ascii="宋体" w:hAnsi="宋体" w:eastAsia="宋体"/></w:rPr><w:t xml:space="preserve">f1</w:t></w:r></w:p></w:tc><w:tc><w:p><w:pPr><w:jc w:val="center"/><w:spacing w:after="0" w:before="0"/></w:pPr><w:r><w:rPr><w:sz w:val="20"/><w:rFonts w:ascii="宋体" w:hAnsi="宋体" w:eastAsia="宋体"/></w:rPr><w:t xml:space="preserve">1 - P_conn</w:t></w:r></w:p></w:tc><w:tc><w:p><w:pPr><w:jc w:val="center"/><w:spacing w:after="0" w:before="0"/></w:pPr><w:r><w:rPr><w:sz w:val="20"/><w:rFonts w:ascii="宋体" w:hAnsi="宋体" w:eastAsia="宋体"/></w:rPr><w:t xml:space="preserve">导电性损失</w:t></w:r></w:p></w:tc><w:tc><w:p><w:pPr><w:jc w:val="center"/><w:spacing w:after="0" w:before="0"/></w:pPr><w:r><w:rPr><w:sz w:val="20"/><w:rFonts w:ascii="宋体" w:hAnsi="宋体" w:eastAsia="宋体"/></w:rPr><w:t xml:space="preserve">越小越好(导电性越高)</w:t></w:r></w:p></w:tc></w:tr><w:tr><w:tc><w:p><w:pPr><w:jc w:val="center"/><w:spacing w:after="0" w:before="0"/></w:pPr><w:r><w:rPr><w:sz w:val="20"/><w:rFonts w:ascii="宋体" w:hAnsi="宋体" w:eastAsia="宋体"/></w:rPr><w:t xml:space="preserve">f2</w:t></w:r></w:p></w:tc><w:tc><w:p><w:pPr><w:jc w:val="center"/><w:spacing w:after="0" w:before="0"/></w:pPr><w:r><w:rPr><w:sz w:val="20"/><w:rFonts w:ascii="宋体" w:hAnsi="宋体" w:eastAsia="宋体"/></w:rPr><w:t xml:space="preserve">N / N_max</w:t></w:r></w:p></w:tc><w:tc><w:p><w:pPr><w:jc w:val="center"/><w:spacing w:after="0" w:before="0"/></w:pPr><w:r><w:rPr><w:sz w:val="20"/><w:rFonts w:ascii="宋体" w:hAnsi="宋体" w:eastAsia="宋体"/></w:rPr><w:t xml:space="preserve">归一化材料成本</w:t></w:r></w:p></w:tc><w:tc><w:p><w:pPr><w:jc w:val="center"/><w:spacing w:after="0" w:before="0"/></w:pPr><w:r><w:rPr><w:sz w:val="20"/><w:rFonts w:ascii="宋体" w:hAnsi="宋体" w:eastAsia="宋体"/></w:rPr><w:t xml:space="preserve">越小越好(填料越少越便宜)</w:t></w:r></w:p></w:tc></w:tr><w:tr><w:tc><w:p><w:pPr><w:jc w:val="center"/><w:spacing w:after="0" w:before="0"/></w:pPr><w:r><w:rPr><w:sz w:val="20"/><w:rFonts w:ascii="宋体" w:hAnsi="宋体" w:eastAsia="宋体"/></w:rPr><w:t xml:space="preserve">f3</w:t></w:r></w:p></w:tc><w:tc><w:p><w:pPr><w:jc w:val="center"/><w:spacing w:after="0" w:before="0"/></w:pPr><w:r><w:rPr><w:sz w:val="20"/><w:rFonts w:ascii="宋体" w:hAnsi="宋体" w:eastAsia="宋体"/></w:rPr><w:t xml:space="preserve">phi = N*V_particle/L^3</w:t></w:r></w:p></w:tc><w:tc><w:p><w:pPr><w:jc w:val="center"/><w:spacing w:after="0" w:before="0"/></w:pPr><w:r><w:rPr><w:sz w:val="20"/><w:rFonts w:ascii="宋体" w:hAnsi="宋体" w:eastAsia="宋体"/></w:rPr><w:t xml:space="preserve">体积填充率(重量代理)</w:t></w:r></w:p></w:tc><w:tc><w:p><w:pPr><w:jc w:val="center"/><w:spacing w:after="0" w:before="0"/></w:pPr><w:r><w:rPr><w:sz w:val="20"/><w:rFonts w:ascii="宋体" w:hAnsi="宋体" w:eastAsia="宋体"/></w:rPr><w:t xml:space="preserve">越小越好(越轻)</w:t></w:r></w:p></w:tc></w:tr><w:tr><w:tc><w:p><w:pPr><w:jc w:val="center"/><w:spacing w:after="0" w:before="0"/></w:pPr><w:r><w:rPr><w:sz w:val="20"/><w:rFonts w:ascii="宋体" w:hAnsi="宋体" w:eastAsia="宋体"/></w:rPr><w:t xml:space="preserve">f4</w:t></w:r></w:p></w:tc><w:tc><w:p><w:pPr><w:jc w:val="center"/><w:spacing w:after="0" w:before="0"/></w:pPr><w:r><w:rPr><w:sz w:val="20"/><w:rFonts w:ascii="宋体" w:hAnsi="宋体" w:eastAsia="宋体"/></w:rPr><w:t xml:space="preserve">1 - E/E0 = 1 - 1/(1+B*phi)</w:t></w:r></w:p></w:tc><w:tc><w:p><w:pPr><w:jc w:val="center"/><w:spacing w:after="0" w:before="0"/></w:pPr><w:r><w:rPr><w:sz w:val="20"/><w:rFonts w:ascii="宋体" w:hAnsi="宋体" w:eastAsia="宋体"/></w:rPr><w:t xml:space="preserve">相对模量损失(Guth-Gold)</w:t></w:r></w:p></w:tc><w:tc><w:p><w:pPr><w:jc w:val="center"/><w:spacing w:after="0" w:before="0"/></w:pPr><w:r><w:rPr><w:sz w:val="20"/><w:rFonts w:ascii="宋体" w:hAnsi="宋体" w:eastAsia="宋体"/></w:rPr><w:t xml:space="preserve">B=2.5，越小越好(力学保持越好)</w:t></w:r></w:p></w:tc></w:tr></w:tbl><w:p><w:pPr><w:spacing w:after="80" w:before="0"/></w:pPr><w:r><w:rPr><w:sz w:val="18"/><w:rFonts w:ascii="宋体" w:hAnsi="宋体" w:eastAsia="宋体"/></w:rPr><w:t xml:space="preserve"></w:t></w:r></w:p><w:p><w:pPr><w:spacing w:after="60" w:before="0"/><w:ind w:firstLine="480"/></w:pPr><w:r><w:rPr><w:sz w:val="22"/><w:rFonts w:ascii="宋体" w:hAnsi="宋体" w:eastAsia="宋体"/></w:rPr><w:t xml:space="preserve">MOEA/D配置：种群N_pop=50(演示)/100(论文)、邻域T=10/20、最大代数G_max=50/200、DE交叉率CR=0.9、缩放因子F=0.5。约束条件：P_conn >= 0.80, phi <= 0.10, N_min <= N <= N_max。决策变量：[N, mu_r, cv_r, s, strategy]共5维。</w:t></w:r></w:p><w:p><w:pPr><w:spacing w:after="80" w:before="160"/></w:pPr><w:r><w:rPr><w:b/><w:sz w:val="24"/><w:rFonts w:ascii="黑体" w:hAnsi="黑体" w:eastAsia="黑体"/></w:rPr><w:t xml:space="preserve">Q4 模块二：求解与结果呈现</w:t></w:r></w:p><w:p><w:pPr><w:spacing w:after="60" w:before="0"/><w:ind w:firstLine="480"/></w:pPr><w:r><w:rPr><w:sz w:val="22"/><w:rFonts w:ascii="宋体" w:hAnsi="宋体" w:eastAsia="宋体"/></w:rPr><w:t xml:space="preserve">进化50代后收敛：24个Pareto非支配解，100%可行(constraint violation < 0.01)。TOPSIS+熵权法推荐方案见下表。熵权法客观赋权结果：导电性权重0.409(最高——因其在Pareto前沿上方差最大，分辨度最高)，成本0.213，重量0.189，力学0.189。TOPSIS相对贴近度C=0.569。</w:t></w:r></w:p><w:p><w:pPr><w:jc w:val="center"/><w:spacing w:after="60" w:before="0"/></w:pPr><w:r><w:rPr><w:b/><w:sz w:val="20"/><w:rFonts w:ascii="宋体" w:hAnsi="宋体" w:eastAsia="宋体"/></w:rPr><w:t xml:space="preserve">表4-2 TOPSIS推荐方案详情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决策变量</w:t></w:r></w:p></w:tc><w:tc><w:p><w:pPr><w:jc w:val="center"/><w:spacing w:after="0" w:before="0"/></w:pPr><w:r><w:rPr><w:b/><w:sz w:val="20"/><w:rFonts w:ascii="宋体" w:hAnsi="宋体" w:eastAsia="宋体"/></w:rPr><w:t xml:space="preserve">值</w:t></w:r></w:p></w:tc><w:tc><w:p><w:pPr><w:jc w:val="center"/><w:spacing w:after="0" w:before="0"/></w:pPr><w:r><w:rPr><w:b/><w:sz w:val="20"/><w:rFonts w:ascii="宋体" w:hAnsi="宋体" w:eastAsia="宋体"/></w:rPr><w:t xml:space="preserve">目标函数</w:t></w:r></w:p></w:tc><w:tc><w:p><w:pPr><w:jc w:val="center"/><w:spacing w:after="0" w:before="0"/></w:pPr><w:r><w:rPr><w:b/><w:sz w:val="20"/><w:rFonts w:ascii="宋体" w:hAnsi="宋体" w:eastAsia="宋体"/></w:rPr><w:t xml:space="preserve">值</w:t></w:r></w:p></w:tc><w:tc><w:p><w:pPr><w:jc w:val="center"/><w:spacing w:after="0" w:before="0"/></w:pPr><w:r><w:rPr><w:b/><w:sz w:val="20"/><w:rFonts w:ascii="宋体" w:hAnsi="宋体" w:eastAsia="宋体"/></w:rPr><w:t xml:space="preserve">解读</w:t></w:r></w:p></w:tc></w:tr><w:tr><w:tc><w:p><w:pPr><w:jc w:val="center"/><w:spacing w:after="0" w:before="0"/></w:pPr><w:r><w:rPr><w:sz w:val="20"/><w:rFonts w:ascii="宋体" w:hAnsi="宋体" w:eastAsia="宋体"/></w:rPr><w:t xml:space="preserve">N</w:t></w:r></w:p></w:tc><w:tc><w:p><w:pPr><w:jc w:val="center"/><w:spacing w:after="0" w:before="0"/></w:pPr><w:r><w:rPr><w:sz w:val="20"/><w:rFonts w:ascii="宋体" w:hAnsi="宋体" w:eastAsia="宋体"/></w:rPr><w:t xml:space="preserve">206</w:t></w:r></w:p></w:tc><w:tc><w:p><w:pPr><w:jc w:val="center"/><w:spacing w:after="0" w:before="0"/></w:pPr><w:r><w:rPr><w:sz w:val="20"/><w:rFonts w:ascii="宋体" w:hAnsi="宋体" w:eastAsia="宋体"/></w:rPr><w:t xml:space="preserve">f1=1-P_conn</w:t></w:r></w:p></w:tc><w:tc><w:p><w:pPr><w:jc w:val="center"/><w:spacing w:after="0" w:before="0"/></w:pPr><w:r><w:rPr><w:sz w:val="20"/><w:rFonts w:ascii="宋体" w:hAnsi="宋体" w:eastAsia="宋体"/></w:rPr><w:t xml:space="preserve">0.091</w:t></w:r></w:p></w:tc><w:tc><w:p><w:pPr><w:jc w:val="center"/><w:spacing w:after="0" w:before="0"/></w:pPr><w:r><w:rPr><w:sz w:val="20"/><w:rFonts w:ascii="宋体" w:hAnsi="宋体" w:eastAsia="宋体"/></w:rPr><w:t xml:space="preserve">P_conn=90.86%，充分满足>=80%约束</w:t></w:r></w:p></w:tc></w:tr><w:tr><w:tc><w:p><w:pPr><w:jc w:val="center"/><w:spacing w:after="0" w:before="0"/></w:pPr><w:r><w:rPr><w:sz w:val="20"/><w:rFonts w:ascii="宋体" w:hAnsi="宋体" w:eastAsia="宋体"/></w:rPr><w:t xml:space="preserve">mu_r</w:t></w:r></w:p></w:tc><w:tc><w:p><w:pPr><w:jc w:val="center"/><w:spacing w:after="0" w:before="0"/></w:pPr><w:r><w:rPr><w:sz w:val="20"/><w:rFonts w:ascii="宋体" w:hAnsi="宋体" w:eastAsia="宋体"/></w:rPr><w:t xml:space="preserve">293</w:t></w:r></w:p></w:tc><w:tc><w:p><w:pPr><w:jc w:val="center"/><w:spacing w:after="0" w:before="0"/></w:pPr><w:r><w:rPr><w:sz w:val="20"/><w:rFonts w:ascii="宋体" w:hAnsi="宋体" w:eastAsia="宋体"/></w:rPr><w:t xml:space="preserve">f2=N/Nmax</w:t></w:r></w:p></w:tc><w:tc><w:p><w:pPr><w:jc w:val="center"/><w:spacing w:after="0" w:before="0"/></w:pPr><w:r><w:rPr><w:sz w:val="20"/><w:rFonts w:ascii="宋体" w:hAnsi="宋体" w:eastAsia="宋体"/></w:rPr><w:t xml:space="preserve">0.103</w:t></w:r></w:p></w:tc><w:tc><w:p><w:pPr><w:jc w:val="center"/><w:spacing w:after="0" w:before="0"/></w:pPr><w:r><w:rPr><w:sz w:val="20"/><w:rFonts w:ascii="宋体" w:hAnsi="宋体" w:eastAsia="宋体"/></w:rPr><w:t xml:space="preserve">仅用最大粒子数的10.3%，成本低</w:t></w:r></w:p></w:tc></w:tr><w:tr><w:tc><w:p><w:pPr><w:jc w:val="center"/><w:spacing w:after="0" w:before="0"/></w:pPr><w:r><w:rPr><w:sz w:val="20"/><w:rFonts w:ascii="宋体" w:hAnsi="宋体" w:eastAsia="宋体"/></w:rPr><w:t xml:space="preserve">cv_r</w:t></w:r></w:p></w:tc><w:tc><w:p><w:pPr><w:jc w:val="center"/><w:spacing w:after="0" w:before="0"/></w:pPr><w:r><w:rPr><w:sz w:val="20"/><w:rFonts w:ascii="宋体" w:hAnsi="宋体" w:eastAsia="宋体"/></w:rPr><w:t xml:space="preserve">0.00</w:t></w:r></w:p></w:tc><w:tc><w:p><w:pPr><w:jc w:val="center"/><w:spacing w:after="0" w:before="0"/></w:pPr><w:r><w:rPr><w:sz w:val="20"/><w:rFonts w:ascii="宋体" w:hAnsi="宋体" w:eastAsia="宋体"/></w:rPr><w:t xml:space="preserve">f3=phi</w:t></w:r></w:p></w:tc><w:tc><w:p><w:pPr><w:jc w:val="center"/><w:spacing w:after="0" w:before="0"/></w:pPr><w:r><w:rPr><w:sz w:val="20"/><w:rFonts w:ascii="宋体" w:hAnsi="宋体" w:eastAsia="宋体"/></w:rPr><w:t xml:space="preserve">0.022</w:t></w:r></w:p></w:tc><w:tc><w:p><w:pPr><w:jc w:val="center"/><w:spacing w:after="0" w:before="0"/></w:pPr><w:r><w:rPr><w:sz w:val="20"/><w:rFonts w:ascii="宋体" w:hAnsi="宋体" w:eastAsia="宋体"/></w:rPr><w:t xml:space="preserve">填充率2.2%，远低于10%上限</w:t></w:r></w:p></w:tc></w:tr><w:tr><w:tc><w:p><w:pPr><w:jc w:val="center"/><w:spacing w:after="0" w:before="0"/></w:pPr><w:r><w:rPr><w:sz w:val="20"/><w:rFonts w:ascii="宋体" w:hAnsi="宋体" w:eastAsia="宋体"/></w:rPr><w:t xml:space="preserve">s</w:t></w:r></w:p></w:tc><w:tc><w:p><w:pPr><w:jc w:val="center"/><w:spacing w:after="0" w:before="0"/></w:pPr><w:r><w:rPr><w:sz w:val="20"/><w:rFonts w:ascii="宋体" w:hAnsi="宋体" w:eastAsia="宋体"/></w:rPr><w:t xml:space="preserve">1.94(棒状)</w:t></w:r></w:p></w:tc><w:tc><w:p><w:pPr><w:jc w:val="center"/><w:spacing w:after="0" w:before="0"/></w:pPr><w:r><w:rPr><w:sz w:val="20"/><w:rFonts w:ascii="宋体" w:hAnsi="宋体" w:eastAsia="宋体"/></w:rPr><w:t xml:space="preserve">f4=1-E/E0</w:t></w:r></w:p></w:tc><w:tc><w:p><w:pPr><w:jc w:val="center"/><w:spacing w:after="0" w:before="0"/></w:pPr><w:r><w:rPr><w:sz w:val="20"/><w:rFonts w:ascii="宋体" w:hAnsi="宋体" w:eastAsia="宋体"/></w:rPr><w:t xml:space="preserve">0.043</w:t></w:r></w:p></w:tc><w:tc><w:p><w:pPr><w:jc w:val="center"/><w:spacing w:after="0" w:before="0"/></w:pPr><w:r><w:rPr><w:sz w:val="20"/><w:rFonts w:ascii="宋体" w:hAnsi="宋体" w:eastAsia="宋体"/></w:rPr><w:t xml:space="preserve">模量保持E/E0=95.7%，力学损失小</w:t></w:r></w:p></w:tc></w:tr><w:tr><w:tc><w:p><w:pPr><w:jc w:val="center"/><w:spacing w:after="0" w:before="0"/></w:pPr><w:r><w:rPr><w:sz w:val="20"/><w:rFonts w:ascii="宋体" w:hAnsi="宋体" w:eastAsia="宋体"/></w:rPr><w:t xml:space="preserve">strategy</w:t></w:r></w:p></w:tc><w:tc><w:p><w:pPr><w:jc w:val="center"/><w:spacing w:after="0" w:before="0"/></w:pPr><w:r><w:rPr><w:sz w:val="20"/><w:rFonts w:ascii="宋体" w:hAnsi="宋体" w:eastAsia="宋体"/></w:rPr><w:t xml:space="preserve">1(链状)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链状排列+棒状填料实现最优平衡</w:t></w:r></w:p></w:tc></w:tr></w:tbl><w:p><w:pPr><w:spacing w:after="80" w:before="0"/></w:pPr><w:r><w:rPr><w:sz w:val="18"/><w:rFonts w:ascii="宋体" w:hAnsi="宋体" w:eastAsia="宋体"/></w:rPr><w:t xml:space="preserve"></w:t></w:r></w:p><w:p><w:pPr><w:spacing w:after="80" w:before="160"/></w:pPr><w:r><w:rPr><w:b/><w:sz w:val="24"/><w:rFonts w:ascii="黑体" w:hAnsi="黑体" w:eastAsia="黑体"/></w:rPr><w:t xml:space="preserve">Q4 模块三：模型检验与验证</w:t></w:r></w:p><w:p><w:pPr><w:spacing w:after="60" w:before="0"/><w:ind w:firstLine="480"/></w:pPr><w:r><w:rPr><w:sz w:val="22"/><w:rFonts w:ascii="宋体" w:hAnsi="宋体" w:eastAsia="宋体"/></w:rPr><w:t xml:space="preserve">收敛性验证：可行解数从第10代后稳定在50/50(100%可行)。理想点f1*(1-P_conn最小值)从初始约0.035单调收敛至约0.0(P_conn趋近100%)。约束满足度100%——所有Pareto解均满足P_conn>=0.80且phi<=0.10。方案推荐鲁棒性：TOPSIS推荐的N=206在Pareto前沿上处于"膝点"(knee point)——再增加粒子数导电性增益递减，再减少粒子数导电性急剧下降，是工程上最优的性价比拐点。</w:t></w:r></w:p><w:p><w:pPr><w:spacing w:after="80" w:before="160"/></w:pPr><w:r><w:rPr><w:b/><w:sz w:val="24"/><w:rFonts w:ascii="黑体" w:hAnsi="黑体" w:eastAsia="黑体"/></w:rPr><w:t xml:space="preserve">Q4 模块四：结果分析与讨论</w:t></w:r></w:p><w:p><w:pPr><w:spacing w:after="60" w:before="0"/><w:ind w:firstLine="480"/></w:pPr><w:r><w:rPr><w:sz w:val="22"/><w:rFonts w:ascii="宋体" w:hAnsi="宋体" w:eastAsia="宋体"/></w:rPr><w:t xml:space="preserve">棒状填料(s=1.94约2倍长径比)和链状排列(strategy=1)是实现最优平衡的关键——两者协同通过各向异性排布在较低填充率(2.2%)下实现高导电性(90.86%)。这与逾渗理论一致：各向异性填料在取向方向上的逾渗阈值显著低于各向同性球体。工程落地建议：(1)若成本优先——选择Pareto前沿左下方N更小的方案(如N约150-180，P_conn约80-85%)；(2)若可靠性优先——选择右上方案(如N约300-400，P_conn>=97%)；(3)TOPSIS推荐方案在四个目标间实现了最优平衡。Pareto前沿可视化使工程师可直观权衡"多花多少成本换取多少可靠性提升"。</w:t></w:r></w:p></w:body>
</w:document>
</file>

<file path=word/_rels/document.xml.rels><?xml version="1.0" encoding="UTF-8" standalone="yes"?>
<Relationships xmlns="http://schemas.openxmlformats.org/package/2006/relationships">
</Relationships>
</file>