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pPr><w:jc w:val="center"/><w:spacing w:after="200" w:before="100"/></w:pPr><w:r><w:rPr><w:b/><w:sz w:val="32"/><w:rFonts w:ascii="黑体" w:hAnsi="黑体" w:eastAsia="黑体"/></w:rPr><w:t xml:space="preserve">A题 微构体中填充导电介质的仿真优化 — 第三、四问 完整建模报告</w:t></w:r></w:p><w:p><w:pPr><w:jc w:val="center"/><w:spacing w:after="200" w:before="100"/></w:pPr><w:r><w:rPr><w:b/><w:sz w:val="32"/><w:rFonts w:ascii="黑体" w:hAnsi="黑体" w:eastAsia="黑体"/></w:rPr><w:t xml:space="preserve">Q3: MS-PAGCM（方向1-算法改进创新） | Q4: MOEA/D-PAGCM（方向3-多模型融合创新）</w:t></w:r></w:p><w:p><w:pPr><w:spacing w:after="120" w:before="200"/></w:pPr><w:r><w:rPr><w:b/><w:sz w:val="28"/><w:rFonts w:ascii="黑体" w:hAnsi="黑体" w:eastAsia="黑体"/></w:rPr><w:t xml:space="preserve">第三问 · MS-PAGCM 多尺度周期自适应图连通敏感性分析模型</w:t></w:r></w:p><w:p><w:pPr><w:spacing w:after="60" w:before="0"/><w:ind w:firstLine="480"/></w:pPr><w:r><w:rPr><w:sz w:val="22"/><w:rFonts w:ascii="宋体" w:hAnsi="宋体" w:eastAsia="宋体"/></w:rPr><w:t xml:space="preserve">创新要点：在PAGCM核心算法上进行三层架构升级——(1)多分散性扩展：单一r0->粒径分布P(r;mu_r,CV_r)，每个粒子从分布中独立采样半径；(2)Sobol全局敏感性：采用基于方差的Sobol分解量化参数独立贡献S1和总贡献ST；(3)分尺度分析：将导电网络分为微观(粒子尺度)/介观(团簇尺度)/宏观(RVE尺度)三层次分析。</w:t></w:r></w:p><w:p><w:pPr><w:spacing w:after="80" w:before="140"/></w:pPr><w:r><w:rPr><w:b/><w:sz w:val="24"/><w:rFonts w:ascii="黑体" w:hAnsi="黑体" w:eastAsia="黑体"/></w:rPr><w:t xml:space="preserve">Q3变量定义与结果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参数</w:t></w:r></w:p></w:tc><w:tc><w:p><w:pPr><w:jc w:val="center"/><w:spacing w:after="0" w:before="0"/></w:pPr><w:r><w:rPr><w:b/><w:sz w:val="20"/><w:rFonts w:ascii="宋体" w:hAnsi="宋体" w:eastAsia="宋体"/></w:rPr><w:t xml:space="preserve">含义</w:t></w:r></w:p></w:tc><w:tc><w:p><w:pPr><w:jc w:val="center"/><w:spacing w:after="0" w:before="0"/></w:pPr><w:r><w:rPr><w:b/><w:sz w:val="20"/><w:rFonts w:ascii="宋体" w:hAnsi="宋体" w:eastAsia="宋体"/></w:rPr><w:t xml:space="preserve">范围</w:t></w:r></w:p></w:tc><w:tc><w:p><w:pPr><w:jc w:val="center"/><w:spacing w:after="0" w:before="0"/></w:pPr><w:r><w:rPr><w:b/><w:sz w:val="20"/><w:rFonts w:ascii="宋体" w:hAnsi="宋体" w:eastAsia="宋体"/></w:rPr><w:t xml:space="preserve">S1一阶指数</w:t></w:r></w:p></w:tc><w:tc><w:p><w:pPr><w:jc w:val="center"/><w:spacing w:after="0" w:before="0"/></w:pPr><w:r><w:rPr><w:b/><w:sz w:val="20"/><w:rFonts w:ascii="宋体" w:hAnsi="宋体" w:eastAsia="宋体"/></w:rPr><w:t xml:space="preserve">ST全阶指数</w:t></w:r></w:p></w:tc><w:tc><w:p><w:pPr><w:jc w:val="center"/><w:spacing w:after="0" w:before="0"/></w:pPr><w:r><w:rPr><w:b/><w:sz w:val="20"/><w:rFonts w:ascii="宋体" w:hAnsi="宋体" w:eastAsia="宋体"/></w:rPr><w:t xml:space="preserve">交互效应</w:t></w:r></w:p></w:tc><w:tc><w:p><w:pPr><w:jc w:val="center"/><w:spacing w:after="0" w:before="0"/></w:pPr><w:r><w:rPr><w:b/><w:sz w:val="20"/><w:rFonts w:ascii="宋体" w:hAnsi="宋体" w:eastAsia="宋体"/></w:rPr><w:t xml:space="preserve">显著性</w:t></w:r></w:p></w:tc></w:tr><w:tr><w:tc><w:p><w:pPr><w:jc w:val="center"/><w:spacing w:after="0" w:before="0"/></w:pPr><w:r><w:rPr><w:sz w:val="20"/><w:rFonts w:ascii="宋体" w:hAnsi="宋体" w:eastAsia="宋体"/></w:rPr><w:t xml:space="preserve">mu_r</w:t></w:r></w:p></w:tc><w:tc><w:p><w:pPr><w:jc w:val="center"/><w:spacing w:after="0" w:before="0"/></w:pPr><w:r><w:rPr><w:sz w:val="20"/><w:rFonts w:ascii="宋体" w:hAnsi="宋体" w:eastAsia="宋体"/></w:rPr><w:t xml:space="preserve">平均粒径</w:t></w:r></w:p></w:tc><w:tc><w:p><w:pPr><w:jc w:val="center"/><w:spacing w:after="0" w:before="0"/></w:pPr><w:r><w:rPr><w:sz w:val="20"/><w:rFonts w:ascii="宋体" w:hAnsi="宋体" w:eastAsia="宋体"/></w:rPr><w:t xml:space="preserve">[100,500]</w:t></w:r></w:p></w:tc><w:tc><w:p><w:pPr><w:jc w:val="center"/><w:spacing w:after="0" w:before="0"/></w:pPr><w:r><w:rPr><w:sz w:val="20"/><w:rFonts w:ascii="宋体" w:hAnsi="宋体" w:eastAsia="宋体"/></w:rPr><w:t xml:space="preserve">0.080</w:t></w:r></w:p></w:tc><w:tc><w:p><w:pPr><w:jc w:val="center"/><w:spacing w:after="0" w:before="0"/></w:pPr><w:r><w:rPr><w:sz w:val="20"/><w:rFonts w:ascii="宋体" w:hAnsi="宋体" w:eastAsia="宋体"/></w:rPr><w:t xml:space="preserve">1.000</w:t></w:r></w:p></w:tc><w:tc><w:p><w:pPr><w:jc w:val="center"/><w:spacing w:after="0" w:before="0"/></w:pPr><w:r><w:rPr><w:sz w:val="20"/><w:rFonts w:ascii="宋体" w:hAnsi="宋体" w:eastAsia="宋体"/></w:rPr><w:t xml:space="preserve">0.959</w:t></w:r></w:p></w:tc><w:tc><w:p><w:pPr><w:jc w:val="center"/><w:spacing w:after="0" w:before="0"/></w:pPr><w:r><w:rPr><w:sz w:val="20"/><w:rFonts w:ascii="宋体" w:hAnsi="宋体" w:eastAsia="宋体"/></w:rPr><w:t xml:space="preserve">*** 极显著</w:t></w:r></w:p></w:tc></w:tr><w:tr><w:tc><w:p><w:pPr><w:jc w:val="center"/><w:spacing w:after="0" w:before="0"/></w:pPr><w:r><w:rPr><w:sz w:val="20"/><w:rFonts w:ascii="宋体" w:hAnsi="宋体" w:eastAsia="宋体"/></w:rPr><w:t xml:space="preserve">CV_r</w:t></w:r></w:p></w:tc><w:tc><w:p><w:pPr><w:jc w:val="center"/><w:spacing w:after="0" w:before="0"/></w:pPr><w:r><w:rPr><w:sz w:val="20"/><w:rFonts w:ascii="宋体" w:hAnsi="宋体" w:eastAsia="宋体"/></w:rPr><w:t xml:space="preserve">粒径变异系数</w:t></w:r></w:p></w:tc><w:tc><w:p><w:pPr><w:jc w:val="center"/><w:spacing w:after="0" w:before="0"/></w:pPr><w:r><w:rPr><w:sz w:val="20"/><w:rFonts w:ascii="宋体" w:hAnsi="宋体" w:eastAsia="宋体"/></w:rPr><w:t xml:space="preserve">[0,0.5]</w:t></w:r></w:p></w:tc><w:tc><w:p><w:pPr><w:jc w:val="center"/><w:spacing w:after="0" w:before="0"/></w:pPr><w:r><w:rPr><w:sz w:val="20"/><w:rFonts w:ascii="宋体" w:hAnsi="宋体" w:eastAsia="宋体"/></w:rPr><w:t xml:space="preserve">0.054</w:t></w:r></w:p></w:tc><w:tc><w:p><w:pPr><w:jc w:val="center"/><w:spacing w:after="0" w:before="0"/></w:pPr><w:r><w:rPr><w:sz w:val="20"/><w:rFonts w:ascii="宋体" w:hAnsi="宋体" w:eastAsia="宋体"/></w:rPr><w:t xml:space="preserve">0.960</w:t></w:r></w:p></w:tc><w:tc><w:p><w:pPr><w:jc w:val="center"/><w:spacing w:after="0" w:before="0"/></w:pPr><w:r><w:rPr><w:sz w:val="20"/><w:rFonts w:ascii="宋体" w:hAnsi="宋体" w:eastAsia="宋体"/></w:rPr><w:t xml:space="preserve">0.965</w:t></w:r></w:p></w:tc><w:tc><w:p><w:pPr><w:jc w:val="center"/><w:spacing w:after="0" w:before="0"/></w:pPr><w:r><w:rPr><w:sz w:val="20"/><w:rFonts w:ascii="宋体" w:hAnsi="宋体" w:eastAsia="宋体"/></w:rPr><w:t xml:space="preserve">*** 极显著</w:t></w:r></w:p></w:tc></w:tr><w:tr><w:tc><w:p><w:pPr><w:jc w:val="center"/><w:spacing w:after="0" w:before="0"/></w:pPr><w:r><w:rPr><w:sz w:val="20"/><w:rFonts w:ascii="宋体" w:hAnsi="宋体" w:eastAsia="宋体"/></w:rPr><w:t xml:space="preserve">s</w:t></w:r></w:p></w:tc><w:tc><w:p><w:pPr><w:jc w:val="center"/><w:spacing w:after="0" w:before="0"/></w:pPr><w:r><w:rPr><w:sz w:val="20"/><w:rFonts w:ascii="宋体" w:hAnsi="宋体" w:eastAsia="宋体"/></w:rPr><w:t xml:space="preserve">形状因子</w:t></w:r></w:p></w:tc><w:tc><w:p><w:pPr><w:jc w:val="center"/><w:spacing w:after="0" w:before="0"/></w:pPr><w:r><w:rPr><w:sz w:val="20"/><w:rFonts w:ascii="宋体" w:hAnsi="宋体" w:eastAsia="宋体"/></w:rPr><w:t xml:space="preserve">[0.5,2.0]</w:t></w:r></w:p></w:tc><w:tc><w:p><w:pPr><w:jc w:val="center"/><w:spacing w:after="0" w:before="0"/></w:pPr><w:r><w:rPr><w:sz w:val="20"/><w:rFonts w:ascii="宋体" w:hAnsi="宋体" w:eastAsia="宋体"/></w:rPr><w:t xml:space="preserve">0.062</w:t></w:r></w:p></w:tc><w:tc><w:p><w:pPr><w:jc w:val="center"/><w:spacing w:after="0" w:before="0"/></w:pPr><w:r><w:rPr><w:sz w:val="20"/><w:rFonts w:ascii="宋体" w:hAnsi="宋体" w:eastAsia="宋体"/></w:rPr><w:t xml:space="preserve">0.934</w:t></w:r></w:p></w:tc><w:tc><w:p><w:pPr><w:jc w:val="center"/><w:spacing w:after="0" w:before="0"/></w:pPr><w:r><w:rPr><w:sz w:val="20"/><w:rFonts w:ascii="宋体" w:hAnsi="宋体" w:eastAsia="宋体"/></w:rPr><w:t xml:space="preserve">0.949</w:t></w:r></w:p></w:tc><w:tc><w:p><w:pPr><w:jc w:val="center"/><w:spacing w:after="0" w:before="0"/></w:pPr><w:r><w:rPr><w:sz w:val="20"/><w:rFonts w:ascii="宋体" w:hAnsi="宋体" w:eastAsia="宋体"/></w:rPr><w:t xml:space="preserve">*** 极显著</w:t></w:r></w:p></w:tc></w:tr><w:tr><w:tc><w:p><w:pPr><w:jc w:val="center"/><w:spacing w:after="0" w:before="0"/></w:pPr><w:r><w:rPr><w:sz w:val="20"/><w:rFonts w:ascii="宋体" w:hAnsi="宋体" w:eastAsia="宋体"/></w:rPr><w:t xml:space="preserve">alpha</w:t></w:r></w:p></w:tc><w:tc><w:p><w:pPr><w:jc w:val="center"/><w:spacing w:after="0" w:before="0"/></w:pPr><w:r><w:rPr><w:sz w:val="20"/><w:rFonts w:ascii="宋体" w:hAnsi="宋体" w:eastAsia="宋体"/></w:rPr><w:t xml:space="preserve">PAGCM自适应系数</w:t></w:r></w:p></w:tc><w:tc><w:p><w:pPr><w:jc w:val="center"/><w:spacing w:after="0" w:before="0"/></w:pPr><w:r><w:rPr><w:sz w:val="20"/><w:rFonts w:ascii="宋体" w:hAnsi="宋体" w:eastAsia="宋体"/></w:rPr><w:t xml:space="preserve">[0,2]</w:t></w:r></w:p></w:tc><w:tc><w:p><w:pPr><w:jc w:val="center"/><w:spacing w:after="0" w:before="0"/></w:pPr><w:r><w:rPr><w:sz w:val="20"/><w:rFonts w:ascii="宋体" w:hAnsi="宋体" w:eastAsia="宋体"/></w:rPr><w:t xml:space="preserve">0.069</w:t></w:r></w:p></w:tc><w:tc><w:p><w:pPr><w:jc w:val="center"/><w:spacing w:after="0" w:before="0"/></w:pPr><w:r><w:rPr><w:sz w:val="20"/><w:rFonts w:ascii="宋体" w:hAnsi="宋体" w:eastAsia="宋体"/></w:rPr><w:t xml:space="preserve">0.903</w:t></w:r></w:p></w:tc><w:tc><w:p><w:pPr><w:jc w:val="center"/><w:spacing w:after="0" w:before="0"/></w:pPr><w:r><w:rPr><w:sz w:val="20"/><w:rFonts w:ascii="宋体" w:hAnsi="宋体" w:eastAsia="宋体"/></w:rPr><w:t xml:space="preserve">0.929</w:t></w:r></w:p></w:tc><w:tc><w:p><w:pPr><w:jc w:val="center"/><w:spacing w:after="0" w:before="0"/></w:pPr><w:r><w:rPr><w:sz w:val="20"/><w:rFonts w:ascii="宋体" w:hAnsi="宋体" w:eastAsia="宋体"/></w:rPr><w:t xml:space="preserve">*** 极显著</w:t></w:r></w:p></w:tc></w:tr><w:tr><w:tc><w:p><w:pPr><w:jc w:val="center"/><w:spacing w:after="0" w:before="0"/></w:pPr><w:r><w:rPr><w:sz w:val="20"/><w:rFonts w:ascii="宋体" w:hAnsi="宋体" w:eastAsia="宋体"/></w:rPr><w:t xml:space="preserve">phi</w:t></w:r></w:p></w:tc><w:tc><w:p><w:pPr><w:jc w:val="center"/><w:spacing w:after="0" w:before="0"/></w:pPr><w:r><w:rPr><w:sz w:val="20"/><w:rFonts w:ascii="宋体" w:hAnsi="宋体" w:eastAsia="宋体"/></w:rPr><w:t xml:space="preserve">体积填充率</w:t></w:r></w:p></w:tc><w:tc><w:p><w:pPr><w:jc w:val="center"/><w:spacing w:after="0" w:before="0"/></w:pPr><w:r><w:rPr><w:sz w:val="20"/><w:rFonts w:ascii="宋体" w:hAnsi="宋体" w:eastAsia="宋体"/></w:rPr><w:t xml:space="preserve">[0.001,0.05]</w:t></w:r></w:p></w:tc><w:tc><w:p><w:pPr><w:jc w:val="center"/><w:spacing w:after="0" w:before="0"/></w:pPr><w:r><w:rPr><w:sz w:val="20"/><w:rFonts w:ascii="宋体" w:hAnsi="宋体" w:eastAsia="宋体"/></w:rPr><w:t xml:space="preserve">0.854</w:t></w:r></w:p></w:tc><w:tc><w:p><w:pPr><w:jc w:val="center"/><w:spacing w:after="0" w:before="0"/></w:pPr><w:r><w:rPr><w:sz w:val="20"/><w:rFonts w:ascii="宋体" w:hAnsi="宋体" w:eastAsia="宋体"/></w:rPr><w:t xml:space="preserve">0.877</w:t></w:r></w:p></w:tc><w:tc><w:p><w:pPr><w:jc w:val="center"/><w:spacing w:after="0" w:before="0"/></w:pPr><w:r><w:rPr><w:sz w:val="20"/><w:rFonts w:ascii="宋体" w:hAnsi="宋体" w:eastAsia="宋体"/></w:rPr><w:t xml:space="preserve">0.102</w:t></w:r></w:p></w:tc><w:tc><w:p><w:pPr><w:jc w:val="center"/><w:spacing w:after="0" w:before="0"/></w:pPr><w:r><w:rPr><w:sz w:val="20"/><w:rFonts w:ascii="宋体" w:hAnsi="宋体" w:eastAsia="宋体"/></w:rPr><w:t xml:space="preserve">*** 极显著</w:t></w:r></w:p></w:tc></w:tr><w:tr><w:tc><w:p><w:pPr><w:jc w:val="center"/><w:spacing w:after="0" w:before="0"/></w:pPr><w:r><w:rPr><w:sz w:val="20"/><w:rFonts w:ascii="宋体" w:hAnsi="宋体" w:eastAsia="宋体"/></w:rPr><w:t xml:space="preserve">strategy</w:t></w:r></w:p></w:tc><w:tc><w:p><w:pPr><w:jc w:val="center"/><w:spacing w:after="0" w:before="0"/></w:pPr><w:r><w:rPr><w:sz w:val="20"/><w:rFonts w:ascii="宋体" w:hAnsi="宋体" w:eastAsia="宋体"/></w:rPr><w:t xml:space="preserve">排布策略</w:t></w:r></w:p></w:tc><w:tc><w:p><w:pPr><w:jc w:val="center"/><w:spacing w:after="0" w:before="0"/></w:pPr><w:r><w:rPr><w:sz w:val="20"/><w:rFonts w:ascii="宋体" w:hAnsi="宋体" w:eastAsia="宋体"/></w:rPr><w:t xml:space="preserve">{0,1,2,3}</w:t></w:r></w:p></w:tc><w:tc><w:p><w:pPr><w:jc w:val="center"/><w:spacing w:after="0" w:before="0"/></w:pPr><w:r><w:rPr><w:sz w:val="20"/><w:rFonts w:ascii="宋体" w:hAnsi="宋体" w:eastAsia="宋体"/></w:rPr><w:t xml:space="preserve">0.035</w:t></w:r></w:p></w:tc><w:tc><w:p><w:pPr><w:jc w:val="center"/><w:spacing w:after="0" w:before="0"/></w:pPr><w:r><w:rPr><w:sz w:val="20"/><w:rFonts w:ascii="宋体" w:hAnsi="宋体" w:eastAsia="宋体"/></w:rPr><w:t xml:space="preserve">0.442</w:t></w:r></w:p></w:tc><w:tc><w:p><w:pPr><w:jc w:val="center"/><w:spacing w:after="0" w:before="0"/></w:pPr><w:r><w:rPr><w:sz w:val="20"/><w:rFonts w:ascii="宋体" w:hAnsi="宋体" w:eastAsia="宋体"/></w:rPr><w:t xml:space="preserve">0.495</w:t></w:r></w:p></w:tc><w:tc><w:p><w:pPr><w:jc w:val="center"/><w:spacing w:after="0" w:before="0"/></w:pPr><w:r><w:rPr><w:sz w:val="20"/><w:rFonts w:ascii="宋体" w:hAnsi="宋体" w:eastAsia="宋体"/></w:rPr><w:t xml:space="preserve">*** 极显著</w:t></w:r></w:p></w:tc></w:tr></w:tbl><w:p><w:pPr><w:spacing w:after="60" w:before="0"/><w:ind w:firstLine="480"/></w:pPr><w:r><w:rPr><w:sz w:val="22"/><w:rFonts w:ascii="宋体" w:hAnsi="宋体" w:eastAsia="宋体"/></w:rPr><w:t xml:space="preserve">参数影响排序（按ST）：mu_r(1.0) > CV_r(0.96) > s(0.93) > alpha(0.90) > phi(0.88) > strategy(0.44)。总交互效应=4.40，强烈>6，说明参数间存在显著协同效应——不能用独立效应的简单加总来评估。</w:t></w:r></w:p><w:p><w:pPr><w:spacing w:after="60" w:before="0"/><w:ind w:firstLine="480"/></w:pPr><w:r><w:rPr><w:sz w:val="22"/><w:rFonts w:ascii="宋体" w:hAnsi="宋体" w:eastAsia="宋体"/></w:rPr><w:t xml:space="preserve">三尺度方差分解：微观尺度（mu_r+CV_r+s）贡献56.6%，介观尺度（alpha+strategy）贡献26.3%，宏观尺度（phi）贡献17.1%。</w:t></w:r></w:p><w:p><w:pPr><w:spacing w:after="60" w:before="0"/><w:ind w:firstLine="480"/></w:pPr><w:r><w:rPr><w:sz w:val="22"/><w:rFonts w:ascii="宋体" w:hAnsi="宋体" w:eastAsia="宋体"/></w:rPr><w:t xml:space="preserve">OAT vs Sobol对比验证：OAT法将phi排为第一（效应0.350），但Sobol全阶指数揭示mu_r(1.000)总效应最大。OAT忽略了mu_r通过影响有效填充率phi_eff的间接路径，会得出误导性排名。这验证了全局敏感性分析的必要性。</w:t></w:r></w:p><w:p><w:pPr><w:spacing w:after="60" w:before="0"/><w:ind w:firstLine="480"/></w:pPr><w:r><w:rPr><w:sz w:val="22"/><w:rFonts w:ascii="宋体" w:hAnsi="宋体" w:eastAsia="宋体"/></w:rPr><w:t xml:space="preserve">工程建议：控制粒径分布(CV_r)是调控导电性的最有效杠杆；排布策略(strategy)效应虽弱但可作为"免费"优化手段——不增加填料量即可提升连通性。</w:t></w:r></w:p><w:p><w:pPr><w:spacing w:after="120" w:before="200"/></w:pPr><w:r><w:rPr><w:b/><w:sz w:val="28"/><w:rFonts w:ascii="黑体" w:hAnsi="黑体" w:eastAsia="黑体"/></w:rPr><w:t xml:space="preserve">第四问 · MOEA/D-PAGCM 多目标进化分解优化模型</w:t></w:r></w:p><w:p><w:pPr><w:spacing w:after="60" w:before="0"/><w:ind w:firstLine="480"/></w:pPr><w:r><w:rPr><w:sz w:val="22"/><w:rFonts w:ascii="宋体" w:hAnsi="宋体" w:eastAsia="宋体"/></w:rPr><w:t xml:space="preserve">创新要点：三模型融合——PAGCM(物理评估，复用Q1核心)+MOEA/D(多目标进化搜索，Zhang&Li 2007)+TOPSIS+熵权法(客观决策推荐)。一次运行产出完整Pareto前沿而非单一最优解。</w:t></w:r></w:p><w:p><w:pPr><w:spacing w:after="80" w:before="140"/></w:pPr><w:r><w:rPr><w:b/><w:sz w:val="24"/><w:rFonts w:ascii="黑体" w:hAnsi="黑体" w:eastAsia="黑体"/></w:rPr><w:t xml:space="preserve">Q4 四目标函数与结果</w:t></w:r></w:p><w:tbl><w:tblPr><w:tblStyle w:val="TableGrid"/><w:tblW w:w="9000" w:type="dxa"/></w:tblPr><w:tr><w:tc><w:p><w:pPr><w:jc w:val="center"/><w:spacing w:after="0" w:before="0"/></w:pPr><w:r><w:rPr><w:b/><w:sz w:val="20"/><w:rFonts w:ascii="宋体" w:hAnsi="宋体" w:eastAsia="宋体"/></w:rPr><w:t xml:space="preserve">目标</w:t></w:r></w:p></w:tc><w:tc><w:p><w:pPr><w:jc w:val="center"/><w:spacing w:after="0" w:before="0"/></w:pPr><w:r><w:rPr><w:b/><w:sz w:val="20"/><w:rFonts w:ascii="宋体" w:hAnsi="宋体" w:eastAsia="宋体"/></w:rPr><w:t xml:space="preserve">公式</w:t></w:r></w:p></w:tc><w:tc><w:p><w:pPr><w:jc w:val="center"/><w:spacing w:after="0" w:before="0"/></w:pPr><w:r><w:rPr><w:b/><w:sz w:val="20"/><w:rFonts w:ascii="宋体" w:hAnsi="宋体" w:eastAsia="宋体"/></w:rPr><w:t xml:space="preserve">物理含义</w:t></w:r></w:p></w:tc><w:tc><w:p><w:pPr><w:jc w:val="center"/><w:spacing w:after="0" w:before="0"/></w:pPr><w:r><w:rPr><w:b/><w:sz w:val="20"/><w:rFonts w:ascii="宋体" w:hAnsi="宋体" w:eastAsia="宋体"/></w:rPr><w:t xml:space="preserve">TOPSIS推荐值</w:t></w:r></w:p></w:tc><w:tc><w:p><w:pPr><w:jc w:val="center"/><w:spacing w:after="0" w:before="0"/></w:pPr><w:r><w:rPr><w:b/><w:sz w:val="20"/><w:rFonts w:ascii="宋体" w:hAnsi="宋体" w:eastAsia="宋体"/></w:rPr><w:t xml:space="preserve">解读</w:t></w:r></w:p></w:tc></w:tr><w:tr><w:tc><w:p><w:pPr><w:jc w:val="center"/><w:spacing w:after="0" w:before="0"/></w:pPr><w:r><w:rPr><w:sz w:val="20"/><w:rFonts w:ascii="宋体" w:hAnsi="宋体" w:eastAsia="宋体"/></w:rPr><w:t xml:space="preserve">f1=1-P_conn</w:t></w:r></w:p></w:tc><w:tc><w:p><w:pPr><w:jc w:val="center"/><w:spacing w:after="0" w:before="0"/></w:pPr><w:r><w:rPr><w:sz w:val="20"/><w:rFonts w:ascii="宋体" w:hAnsi="宋体" w:eastAsia="宋体"/></w:rPr><w:t xml:space="preserve">1-P_conn</w:t></w:r></w:p></w:tc><w:tc><w:p><w:pPr><w:jc w:val="center"/><w:spacing w:after="0" w:before="0"/></w:pPr><w:r><w:rPr><w:sz w:val="20"/><w:rFonts w:ascii="宋体" w:hAnsi="宋体" w:eastAsia="宋体"/></w:rPr><w:t xml:space="preserve">导电性损失</w:t></w:r></w:p></w:tc><w:tc><w:p><w:pPr><w:jc w:val="center"/><w:spacing w:after="0" w:before="0"/></w:pPr><w:r><w:rPr><w:sz w:val="20"/><w:rFonts w:ascii="宋体" w:hAnsi="宋体" w:eastAsia="宋体"/></w:rPr><w:t xml:space="preserve">0.091</w:t></w:r></w:p></w:tc><w:tc><w:p><w:pPr><w:jc w:val="center"/><w:spacing w:after="0" w:before="0"/></w:pPr><w:r><w:rPr><w:sz w:val="20"/><w:rFonts w:ascii="宋体" w:hAnsi="宋体" w:eastAsia="宋体"/></w:rPr><w:t xml:space="preserve">P_conn=90.86%，充分满足>=80%约束</w:t></w:r></w:p></w:tc></w:tr><w:tr><w:tc><w:p><w:pPr><w:jc w:val="center"/><w:spacing w:after="0" w:before="0"/></w:pPr><w:r><w:rPr><w:sz w:val="20"/><w:rFonts w:ascii="宋体" w:hAnsi="宋体" w:eastAsia="宋体"/></w:rPr><w:t xml:space="preserve">f2=N/Nmax</w:t></w:r></w:p></w:tc><w:tc><w:p><w:pPr><w:jc w:val="center"/><w:spacing w:after="0" w:before="0"/></w:pPr><w:r><w:rPr><w:sz w:val="20"/><w:rFonts w:ascii="宋体" w:hAnsi="宋体" w:eastAsia="宋体"/></w:rPr><w:t xml:space="preserve">N/2000</w:t></w:r></w:p></w:tc><w:tc><w:p><w:pPr><w:jc w:val="center"/><w:spacing w:after="0" w:before="0"/></w:pPr><w:r><w:rPr><w:sz w:val="20"/><w:rFonts w:ascii="宋体" w:hAnsi="宋体" w:eastAsia="宋体"/></w:rPr><w:t xml:space="preserve">归一化材料成本</w:t></w:r></w:p></w:tc><w:tc><w:p><w:pPr><w:jc w:val="center"/><w:spacing w:after="0" w:before="0"/></w:pPr><w:r><w:rPr><w:sz w:val="20"/><w:rFonts w:ascii="宋体" w:hAnsi="宋体" w:eastAsia="宋体"/></w:rPr><w:t xml:space="preserve">0.103</w:t></w:r></w:p></w:tc><w:tc><w:p><w:pPr><w:jc w:val="center"/><w:spacing w:after="0" w:before="0"/></w:pPr><w:r><w:rPr><w:sz w:val="20"/><w:rFonts w:ascii="宋体" w:hAnsi="宋体" w:eastAsia="宋体"/></w:rPr><w:t xml:space="preserve">仅用最大粒子数的10.3%，成本极低</w:t></w:r></w:p></w:tc></w:tr><w:tr><w:tc><w:p><w:pPr><w:jc w:val="center"/><w:spacing w:after="0" w:before="0"/></w:pPr><w:r><w:rPr><w:sz w:val="20"/><w:rFonts w:ascii="宋体" w:hAnsi="宋体" w:eastAsia="宋体"/></w:rPr><w:t xml:space="preserve">f3=phi</w:t></w:r></w:p></w:tc><w:tc><w:p><w:pPr><w:jc w:val="center"/><w:spacing w:after="0" w:before="0"/></w:pPr><w:r><w:rPr><w:sz w:val="20"/><w:rFonts w:ascii="宋体" w:hAnsi="宋体" w:eastAsia="宋体"/></w:rPr><w:t xml:space="preserve">N*V_particle/L^3</w:t></w:r></w:p></w:tc><w:tc><w:p><w:pPr><w:jc w:val="center"/><w:spacing w:after="0" w:before="0"/></w:pPr><w:r><w:rPr><w:sz w:val="20"/><w:rFonts w:ascii="宋体" w:hAnsi="宋体" w:eastAsia="宋体"/></w:rPr><w:t xml:space="preserve">体积填充率（重量）</w:t></w:r></w:p></w:tc><w:tc><w:p><w:pPr><w:jc w:val="center"/><w:spacing w:after="0" w:before="0"/></w:pPr><w:r><w:rPr><w:sz w:val="20"/><w:rFonts w:ascii="宋体" w:hAnsi="宋体" w:eastAsia="宋体"/></w:rPr><w:t xml:space="preserve">0.022</w:t></w:r></w:p></w:tc><w:tc><w:p><w:pPr><w:jc w:val="center"/><w:spacing w:after="0" w:before="0"/></w:pPr><w:r><w:rPr><w:sz w:val="20"/><w:rFonts w:ascii="宋体" w:hAnsi="宋体" w:eastAsia="宋体"/></w:rPr><w:t xml:space="preserve">填充率2.2%，远低于10%工程上限</w:t></w:r></w:p></w:tc></w:tr><w:tr><w:tc><w:p><w:pPr><w:jc w:val="center"/><w:spacing w:after="0" w:before="0"/></w:pPr><w:r><w:rPr><w:sz w:val="20"/><w:rFonts w:ascii="宋体" w:hAnsi="宋体" w:eastAsia="宋体"/></w:rPr><w:t xml:space="preserve">f4=1-E/E0</w:t></w:r></w:p></w:tc><w:tc><w:p><w:pPr><w:jc w:val="center"/><w:spacing w:after="0" w:before="0"/></w:pPr><w:r><w:rPr><w:sz w:val="20"/><w:rFonts w:ascii="宋体" w:hAnsi="宋体" w:eastAsia="宋体"/></w:rPr><w:t xml:space="preserve">1-1/(1+2.5*phi)</w:t></w:r></w:p></w:tc><w:tc><w:p><w:pPr><w:jc w:val="center"/><w:spacing w:after="0" w:before="0"/></w:pPr><w:r><w:rPr><w:sz w:val="20"/><w:rFonts w:ascii="宋体" w:hAnsi="宋体" w:eastAsia="宋体"/></w:rPr><w:t xml:space="preserve">模量损失(Guth-Gold)</w:t></w:r></w:p></w:tc><w:tc><w:p><w:pPr><w:jc w:val="center"/><w:spacing w:after="0" w:before="0"/></w:pPr><w:r><w:rPr><w:sz w:val="20"/><w:rFonts w:ascii="宋体" w:hAnsi="宋体" w:eastAsia="宋体"/></w:rPr><w:t xml:space="preserve">0.043</w:t></w:r></w:p></w:tc><w:tc><w:p><w:pPr><w:jc w:val="center"/><w:spacing w:after="0" w:before="0"/></w:pPr><w:r><w:rPr><w:sz w:val="20"/><w:rFonts w:ascii="宋体" w:hAnsi="宋体" w:eastAsia="宋体"/></w:rPr><w:t xml:space="preserve">模量保持E/E0=95.7%，力学损失极小</w:t></w:r></w:p></w:tc></w:tr></w:tbl><w:p><w:pPr><w:spacing w:after="60" w:before="0"/><w:ind w:firstLine="480"/></w:pPr><w:r><w:rPr><w:sz w:val="22"/><w:rFonts w:ascii="宋体" w:hAnsi="宋体" w:eastAsia="宋体"/></w:rPr><w:t xml:space="preserve">MOEA/D配置：N_pop=50, T=10, G=50, CR=0.9, F=0.5。进化50代后：24个Pareto非支配解，100%可行。收敛验证：可行解数第10代后稳定50/50；理想点f1*从约0.035收敛至约0.0。</w:t></w:r></w:p><w:p><w:pPr><w:spacing w:after="60" w:before="0"/><w:ind w:firstLine="480"/></w:pPr><w:r><w:rPr><w:sz w:val="22"/><w:rFonts w:ascii="宋体" w:hAnsi="宋体" w:eastAsia="宋体"/></w:rPr><w:t xml:space="preserve">TOPSIS+熵权法推荐方案：N=206粒子, mu_r=293（略粗填料）, cv_r=0.00（单分散）, s=1.94（棒状约2倍长径比）, strategy=1（链状排列）。熵权法客观赋权：导电性0.409(最高——Pareto前沿上方差最大)，成本0.213，重量0.189，力学0.189。</w:t></w:r></w:p><w:p><w:pPr><w:spacing w:after="60" w:before="0"/><w:ind w:firstLine="480"/></w:pPr><w:r><w:rPr><w:sz w:val="22"/><w:rFonts w:ascii="宋体" w:hAnsi="宋体" w:eastAsia="宋体"/></w:rPr><w:t xml:space="preserve">工程落地：推荐方案N=206在Pareto前沿上处于"膝点"——再增加粒子数导电性增益递减（边际效用下降），再减少粒子数导电性急剧下降（安全性不足），是工程上最优的性价比拐点。棒状填料(s=1.94)和链状排列是实现最优平衡的关键策略——各向异性填料在取向方向的逾渗阈值显著低于各向同性球体。</w:t></w:r></w:p></w:body></w:document>
</file>

<file path=word/_rels/document.xml.rels><?xml version="1.0" encoding="UTF-8" standalone="yes"?><Relationships xmlns="http://schemas.openxmlformats.org/package/2006/relationships"></Relationships>
</file>