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AB2F75" w:rsidRPr="00AB2F75">
        <w:rPr>
          <w:rFonts w:ascii="Times New Roman" w:hAnsi="Times New Roman" w:cs="Times New Roman"/>
          <w:b/>
          <w:color w:val="202124"/>
          <w:spacing w:val="3"/>
          <w:sz w:val="24"/>
          <w:szCs w:val="24"/>
          <w:shd w:val="clear" w:color="auto" w:fill="FFFFFF"/>
        </w:rPr>
        <w:t>Lucas Carvalho da Luz</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xml:space="preserve">. Estou ciente que em caso de pagamento parcelado, o valor do ingresso deverá </w:t>
      </w:r>
      <w:bookmarkStart w:id="0" w:name="_GoBack"/>
      <w:bookmarkEnd w:id="0"/>
      <w:r w:rsidR="00AB0671">
        <w:rPr>
          <w:rFonts w:ascii="Times New Roman" w:hAnsi="Times New Roman" w:cs="Times New Roman"/>
          <w:sz w:val="24"/>
          <w:szCs w:val="24"/>
        </w:rPr>
        <w:t>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AB2F75"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B2F75"/>
    <w:rsid w:val="00AF2542"/>
    <w:rsid w:val="00BA383E"/>
    <w:rsid w:val="00C1037B"/>
    <w:rsid w:val="00C56B90"/>
    <w:rsid w:val="00CC4317"/>
    <w:rsid w:val="00CC7130"/>
    <w:rsid w:val="00D21C0E"/>
    <w:rsid w:val="00D4157C"/>
    <w:rsid w:val="00DF34EC"/>
    <w:rsid w:val="00E11AD1"/>
    <w:rsid w:val="00EA5394"/>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2023-07-09T19:28:00Z</dcterms:created>
  <dcterms:modified xsi:type="dcterms:W3CDTF">2023-07-09T20:11:00Z</dcterms:modified>
</cp:coreProperties>
</file>