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00:54</w:t>
      </w:r>
    </w:p>
    <w:p>
      <w:pPr>
        <w:pStyle w:val="Heading2"/>
      </w:pPr>
      <w:r>
        <w:t>1) KPI Tổng quan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gộp: 42.00%</w:t>
      </w:r>
    </w:p>
    <w:p>
      <w:r>
        <w:t>- Doanh thu trung bình/tháng: 1,250,000 VNĐ</w:t>
      </w:r>
    </w:p>
    <w:p>
      <w:r>
        <w:t>- Tăng trưởng MoM: -43.75%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700,000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 (ước tính): 42.00%</w:t>
      </w:r>
    </w:p>
    <w:p>
      <w:r>
        <w:t>- Doanh thu trung bình/tháng: 1,250,000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giảm 43.75%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900,000 VNĐ</w:t>
      </w:r>
    </w:p>
    <w:p>
      <w:r>
        <w:t>- Top 2: SP03 — doanh thu 900,000 VNĐ</w:t>
      </w:r>
    </w:p>
    <w:p>
      <w:r>
        <w:t>- Top 3: SP02 — doanh thu 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