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6ae0c2ee97c013720c158fc022e15fbb7989050"/>
    <w:p>
      <w:pPr>
        <w:pStyle w:val="Heading1"/>
      </w:pPr>
      <w:r>
        <w:t xml:space="preserve">Input Memorandum to the Research and Technology Coordinating Committee</w:t>
      </w:r>
    </w:p>
    <w:p>
      <w:pPr>
        <w:pStyle w:val="FirstParagraph"/>
      </w:pPr>
      <w:r>
        <w:rPr>
          <w:b/>
          <w:bCs/>
        </w:rPr>
        <w:t xml:space="preserve">To:</w:t>
      </w:r>
      <w:r>
        <w:t xml:space="preserve"> </w:t>
      </w:r>
      <w:r>
        <w:t xml:space="preserve">Carlos M. Braceras, P.E., Chair, Research and Technology Coordinating Committee</w:t>
      </w:r>
      <w:r>
        <w:t xml:space="preserve"> </w:t>
      </w:r>
      <w:r>
        <w:t xml:space="preserve">      Joseph Hartmann, Associate Administrator for Research, Development &amp; Technology, Federal Highway Administration</w:t>
      </w:r>
      <w:r>
        <w:t xml:space="preserve"> </w:t>
      </w:r>
      <w:r>
        <w:rPr>
          <w:b/>
          <w:bCs/>
        </w:rPr>
        <w:t xml:space="preserve">Cc:</w:t>
      </w:r>
      <w:r>
        <w:t xml:space="preserve"> </w:t>
      </w:r>
      <w:r>
        <w:t xml:space="preserve">Gloria M. Shepherd, Executive Director, Federal Highway Administration</w:t>
      </w:r>
      <w:r>
        <w:t xml:space="preserve"> </w:t>
      </w:r>
      <w:r>
        <w:rPr>
          <w:b/>
          <w:bCs/>
        </w:rPr>
        <w:t xml:space="preserve">From:</w:t>
      </w:r>
      <w:r>
        <w:t xml:space="preserve"> </w:t>
      </w:r>
      <w:r>
        <w:t xml:space="preserve">Matt Miller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May 11, 2026</w:t>
      </w:r>
      <w:r>
        <w:t xml:space="preserve"> </w:t>
      </w:r>
      <w:r>
        <w:rPr>
          <w:b/>
          <w:bCs/>
        </w:rPr>
        <w:t xml:space="preserve">Subject:</w:t>
      </w:r>
      <w:r>
        <w:t xml:space="preserve"> </w:t>
      </w:r>
      <w:r>
        <w:t xml:space="preserve">A state-side view of national digital infrastructure interoperability gaps — research inputs in support of the September 2025 RTCC Letter Report</w:t>
      </w:r>
    </w:p>
    <w:p>
      <w:r>
        <w:pict>
          <v:rect style="width:0;height:1.5pt" o:hralign="center" o:hrstd="t" o:hr="t"/>
        </w:pict>
      </w:r>
    </w:p>
    <w:bookmarkStart w:id="10" w:name="affiliation-and-conflicts"/>
    <w:p>
      <w:pPr>
        <w:pStyle w:val="Heading2"/>
      </w:pPr>
      <w:r>
        <w:t xml:space="preserve">Affiliation and Conflicts</w:t>
      </w:r>
    </w:p>
    <w:p>
      <w:pPr>
        <w:pStyle w:val="FirstParagraph"/>
      </w:pPr>
      <w:r>
        <w:t xml:space="preserve">I work on transportation data integration from a state-DOT-adjacent vantage point. The empirical observations in this memorandum are drawn from a private, non-commercial experimentation environment I operate for the purpose of studying public federal and state digital infrastructure feeds end-to-end. I also have commercial software interests in adjacent transportation-practitioner domains; none of those products are offered for the Committee’s consideration, and I will recuse from any deliberation in which a Committee recommendation would specifically touch a product domain in which I have commercial involvement.</w:t>
      </w:r>
      <w:r>
        <w:rPr>
          <w:rStyle w:val="FootnoteReference"/>
        </w:rPr>
        <w:footnoteReference w:id="9"/>
      </w:r>
      <w:r>
        <w:t xml:space="preserve"> </w:t>
      </w:r>
      <w:r>
        <w:t xml:space="preserve">Every recommendation below is a recommendation that</w:t>
      </w:r>
      <w:r>
        <w:t xml:space="preserve"> </w:t>
      </w:r>
      <w:r>
        <w:rPr>
          <w:b/>
          <w:bCs/>
        </w:rPr>
        <w:t xml:space="preserve">federal research be funded and conducted</w:t>
      </w:r>
      <w:r>
        <w:t xml:space="preserve"> </w:t>
      </w:r>
      <w:r>
        <w:t xml:space="preserve">— not that any agency procure, adopt, or evaluate any external work.</w:t>
      </w:r>
    </w:p>
    <w:bookmarkEnd w:id="10"/>
    <w:bookmarkStart w:id="11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This memorandum is submitted in advance of my first RTCC meeting. It is written from the perspective of a state-side practitioner observing a national problem: state DOTs are individually responsible for operating safe, efficient, multi-jurisdictional corridors, but the digital infrastructure connecting them is decentralized, unevenly conformant, and not measurable in any federally-curated way. States cannot fix that from where we sit; the federal research enterprise is the natural locus. The recommendations below are scoped accordingly — each is a research question that fits a 2-to-3-year federal RD&amp;T cycle and produces methodology, specification, or empirical findings the practitioner community can converge on.</w:t>
      </w:r>
    </w:p>
    <w:bookmarkEnd w:id="11"/>
    <w:bookmarkStart w:id="13" w:name="acknowledgment-of-existing-federal-work"/>
    <w:p>
      <w:pPr>
        <w:pStyle w:val="Heading2"/>
      </w:pPr>
      <w:r>
        <w:t xml:space="preserve">Acknowledgment of Existing Federal Work</w:t>
      </w:r>
    </w:p>
    <w:p>
      <w:pPr>
        <w:pStyle w:val="FirstParagraph"/>
      </w:pPr>
      <w:r>
        <w:t xml:space="preserve">These recommendations are intended as additive to, not corrective of, the substantial federal research program already underway. FHWA RD&amp;T, ITS-JPO, TFHRC, NCHRP, NPMRDS-related work through RITIS, the Vehicle Probe Project, and AASHTO standards activities each address pieces of the interoperability puzzle. The recommendations below are gaps observed</w:t>
      </w:r>
      <w:r>
        <w:t xml:space="preserve"> </w:t>
      </w:r>
      <w:r>
        <w:rPr>
          <w:i/>
          <w:iCs/>
        </w:rPr>
        <w:t xml:space="preserve">from outside</w:t>
      </w:r>
      <w:r>
        <w:t xml:space="preserve"> </w:t>
      </w:r>
      <w:r>
        <w:t xml:space="preserve">those programs, offered in the spirit that the decentralized RD&amp;T enterprise will benefit from cross-cutting research the Committee endorsed in Conclusion 3 of the September 2025 Letter Report.</w:t>
      </w:r>
      <w:r>
        <w:rPr>
          <w:rStyle w:val="FootnoteReference"/>
        </w:rPr>
        <w:footnoteReference w:id="12"/>
      </w:r>
    </w:p>
    <w:bookmarkEnd w:id="13"/>
    <w:bookmarkStart w:id="15" w:name="Xfb8919b6841f7a635eb06726b98f277401f9312"/>
    <w:p>
      <w:pPr>
        <w:pStyle w:val="Heading2"/>
      </w:pPr>
      <w:r>
        <w:t xml:space="preserve">Source and Breadth of Empirical Observations</w:t>
      </w:r>
    </w:p>
    <w:p>
      <w:pPr>
        <w:pStyle w:val="FirstParagraph"/>
      </w:pPr>
      <w:r>
        <w:t xml:space="preserve">The observations below are drawn from end-to-end integration covering the following surfaces: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Federal and state real-time public feeds:</w:t>
      </w:r>
      <w:r>
        <w:t xml:space="preserve"> </w:t>
      </w:r>
      <w:r>
        <w:t xml:space="preserve">Work Zone Data Exchange across versions 3.0 through 4.2 and approximately 39 state and sub-state producers; CWZ 1.0; Common Incident Format Specification via the Eastern Transportation Coalition; TMDD-derived state ATIS APIs in the Iteris/iBi family; MAASTO TPIMS v2.2; NWS Alerts; CBP Border Wait Times; NPS Road Events; and sub-state and international producers including the City of Austin, St. Charles County Missouri, Maricopa County, and Quebec City.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Data quality measurement:</w:t>
      </w:r>
      <w:r>
        <w:t xml:space="preserve"> </w:t>
      </w:r>
      <w:r>
        <w:t xml:space="preserve">composite Data Quality Index applied per producer; per-event confidence scoring; coverage gap analysis; cross-state event correlation; feed-alignment analysis; anomaly detection.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Standards translation:</w:t>
      </w:r>
      <w:r>
        <w:t xml:space="preserve"> </w:t>
      </w:r>
      <w:r>
        <w:t xml:space="preserve">crosswalks among WZDx, TMDD, CIFS, CWZ 1.0, SAE J2735, and Common Alerting Protocol; version-upgrade tooling; per-event provenance and lineage.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Operations:</w:t>
      </w:r>
      <w:r>
        <w:t xml:space="preserve"> </w:t>
      </w:r>
      <w:r>
        <w:t xml:space="preserve">dynamic message sign authoring with approval workflow; multi-state closure approval; pre-staged diversion routes; corridor situational-awareness briefings; corridor delay estimation.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Compliance and permits:</w:t>
      </w:r>
      <w:r>
        <w:t xml:space="preserve"> </w:t>
      </w:r>
      <w:r>
        <w:t xml:space="preserve">IPAWS road-impact integration; NASCO corridor regulations; state and corridor-level oversize/overweight rule representation; bridge-clearance warnings.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analytics and validation:</w:t>
      </w:r>
      <w:r>
        <w:t xml:space="preserve"> </w:t>
      </w:r>
      <w:r>
        <w:t xml:space="preserve">event probability, parking occupancy, corridor risk, equipment-failure forecasting; ground-truth comparison.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Decision support:</w:t>
      </w:r>
      <w:r>
        <w:t xml:space="preserve"> </w:t>
      </w:r>
      <w:r>
        <w:t xml:space="preserve">ITS equipment status; CADD/IFC viewing for digital project delivery; digital infrastructure readiness assessment.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Vendor transparency:</w:t>
      </w:r>
      <w:r>
        <w:t xml:space="preserve"> </w:t>
      </w:r>
      <w:r>
        <w:t xml:space="preserve">vendor DQI leaderboards, head-to-head comparisons, gap analysis, procurement contract tracking.</w:t>
      </w:r>
    </w:p>
    <w:p>
      <w:pPr>
        <w:pStyle w:val="FirstParagraph"/>
      </w:pPr>
      <w:r>
        <w:t xml:space="preserve">End-to-end means source identification, fetch, schema parsing, conformance checking, normalization to a common event model, cross-feed joining, operational presentation, and observation over time.</w:t>
      </w:r>
      <w:r>
        <w:rPr>
          <w:rStyle w:val="FootnoteReference"/>
        </w:rPr>
        <w:footnoteReference w:id="14"/>
      </w:r>
    </w:p>
    <w:bookmarkEnd w:id="15"/>
    <w:bookmarkStart w:id="22" w:name="recommendations"/>
    <w:p>
      <w:pPr>
        <w:pStyle w:val="Heading2"/>
      </w:pPr>
      <w:r>
        <w:t xml:space="preserve">Recommendations</w:t>
      </w:r>
    </w:p>
    <w:p>
      <w:pPr>
        <w:pStyle w:val="FirstParagraph"/>
      </w:pPr>
      <w:r>
        <w:t xml:space="preserve">Twenty-two research-investment recommendations are organized into six clusters. Each item below names the state-side problem driving the recommendation, the research scope appropriate to a 2-to-3-year federal RD&amp;T cycle, and a recommended owner. The recommendations are inputs to the Committee’s deliberation; they are offered with the expectation that some will be advanced, some refined, and some set aside in the Committee’s collective judgment.</w:t>
      </w:r>
    </w:p>
    <w:bookmarkStart w:id="16" w:name="Xb45621dd6324fbdeff9c7738152b6057a39b610"/>
    <w:p>
      <w:pPr>
        <w:pStyle w:val="Heading3"/>
      </w:pPr>
      <w:r>
        <w:t xml:space="preserve">A. Feeds, Standards, and Interoperability Measurement</w:t>
      </w:r>
    </w:p>
    <w:p>
      <w:pPr>
        <w:pStyle w:val="FirstParagraph"/>
      </w:pPr>
      <w:r>
        <w:rPr>
          <w:b/>
          <w:bCs/>
        </w:rPr>
        <w:t xml:space="preserve">A.1 Measurement-of-Interoperability Research.</w:t>
      </w:r>
      <w:r>
        <w:t xml:space="preserve"> </w:t>
      </w:r>
      <w:r>
        <w:rPr>
          <w:i/>
          <w:iCs/>
        </w:rPr>
        <w:t xml:space="preserve">State lens:</w:t>
      </w:r>
      <w:r>
        <w:t xml:space="preserve"> </w:t>
      </w:r>
      <w:r>
        <w:t xml:space="preserve">A state TMC consuming neighboring states’ feeds has no federally-curated baseline to evaluate what it is receiving. Decisions about whether to ingest a neighboring feed today rest on a 60-second integration test by an analyst, not on published measurement.</w:t>
      </w:r>
      <w:r>
        <w:t xml:space="preserve"> </w:t>
      </w:r>
      <w:r>
        <w:rPr>
          <w:i/>
          <w:iCs/>
        </w:rPr>
        <w:t xml:space="preserve">Research scope:</w:t>
      </w:r>
      <w:r>
        <w:t xml:space="preserve"> </w:t>
      </w:r>
      <w:r>
        <w:t xml:space="preserve">Sustained, open-methodology empirical measurement of conformance, completeness, freshness, and standards-fidelity across major public feeds. Phase 1: methodology + baseline (months 1–6). Phase 2: continuous measurement at scale (months 6–24). Phase 3: longitudinal trend reporting (months 24–36).</w:t>
      </w:r>
      <w:r>
        <w:t xml:space="preserve"> </w:t>
      </w:r>
      <w:r>
        <w:rPr>
          <w:i/>
          <w:iCs/>
        </w:rPr>
        <w:t xml:space="preserve">Owner:</w:t>
      </w:r>
      <w:r>
        <w:t xml:space="preserve"> </w:t>
      </w:r>
      <w:r>
        <w:t xml:space="preserve">FHWA RD&amp;T / TFHRC, with NCHRP support.</w:t>
      </w:r>
    </w:p>
    <w:p>
      <w:pPr>
        <w:pStyle w:val="BodyText"/>
      </w:pPr>
      <w:r>
        <w:rPr>
          <w:b/>
          <w:bCs/>
        </w:rPr>
        <w:t xml:space="preserve">A.2 Authoritative Cross-Specification Crosswalk Research.</w:t>
      </w:r>
      <w:r>
        <w:t xml:space="preserve"> </w:t>
      </w:r>
      <w:r>
        <w:rPr>
          <w:i/>
          <w:iCs/>
        </w:rPr>
        <w:t xml:space="preserve">State lens:</w:t>
      </w:r>
      <w:r>
        <w:t xml:space="preserve"> </w:t>
      </w:r>
      <w:r>
        <w:t xml:space="preserve">Every state integrating neighbor or vendor data builds its own WZDx↔TMDD↔CIFS translation. The translations diverge silently, which degrades the comparability of multi-state operations data over time.</w:t>
      </w:r>
      <w:r>
        <w:t xml:space="preserve"> </w:t>
      </w:r>
      <w:r>
        <w:rPr>
          <w:i/>
          <w:iCs/>
        </w:rPr>
        <w:t xml:space="preserve">Research scope:</w:t>
      </w:r>
      <w:r>
        <w:t xml:space="preserve"> </w:t>
      </w:r>
      <w:r>
        <w:t xml:space="preserve">Reference crosswalks among WZDx, TMDD, CIFS, CWZ 1.0, SAE J2735, and CAP; one open-source reference normalization implementation. Phase 1: crosswalk authoring (months 1–9). Phase 2: reference implementation + community pilot (months 9–24). Phase 3: standards-body submission and publication (months 24–30).</w:t>
      </w:r>
      <w:r>
        <w:t xml:space="preserve"> </w:t>
      </w:r>
      <w:r>
        <w:rPr>
          <w:i/>
          <w:iCs/>
        </w:rPr>
        <w:t xml:space="preserve">Owner:</w:t>
      </w:r>
      <w:r>
        <w:t xml:space="preserve"> </w:t>
      </w:r>
      <w:r>
        <w:t xml:space="preserve">FHWA RD&amp;T with SAE, ITE, and AASHTO.</w:t>
      </w:r>
    </w:p>
    <w:p>
      <w:pPr>
        <w:pStyle w:val="BodyText"/>
      </w:pPr>
      <w:r>
        <w:rPr>
          <w:b/>
          <w:bCs/>
        </w:rPr>
        <w:t xml:space="preserve">A.3 Sub-State and Regional Digital Infrastructure Layer Research.</w:t>
      </w:r>
      <w:r>
        <w:t xml:space="preserve"> </w:t>
      </w:r>
      <w:r>
        <w:rPr>
          <w:i/>
          <w:iCs/>
        </w:rPr>
        <w:t xml:space="preserve">State lens:</w:t>
      </w:r>
      <w:r>
        <w:t xml:space="preserve"> </w:t>
      </w:r>
      <w:r>
        <w:t xml:space="preserve">A state DOT is not the only producer of operationally-relevant data in its own footprint. Cities, counties, toll authorities, and tribal agencies publish feeds that overlap incompatibly with the state’s. The state cannot harmonize these alone.</w:t>
      </w:r>
      <w:r>
        <w:t xml:space="preserve"> </w:t>
      </w:r>
      <w:r>
        <w:rPr>
          <w:i/>
          <w:iCs/>
        </w:rPr>
        <w:t xml:space="preserve">Research scope:</w:t>
      </w:r>
      <w:r>
        <w:t xml:space="preserve"> </w:t>
      </w:r>
      <w:r>
        <w:t xml:space="preserve">Inventory the sub-state and regional layer; characterize its prevalence, conformance, and overlap with state-level feeds; develop policy-lever analysis for harmonization. Phase 1: inventory (months 1–6). Phase 2: conformance + overlap analysis (months 6–18). Phase 3: harmonization policy options (months 18–30).</w:t>
      </w:r>
      <w:r>
        <w:t xml:space="preserve"> </w:t>
      </w:r>
      <w:r>
        <w:rPr>
          <w:i/>
          <w:iCs/>
        </w:rPr>
        <w:t xml:space="preserve">Owner:</w:t>
      </w:r>
      <w:r>
        <w:t xml:space="preserve"> </w:t>
      </w:r>
      <w:r>
        <w:t xml:space="preserve">FHWA RD&amp;T jointly with NCHRP.</w:t>
      </w:r>
    </w:p>
    <w:p>
      <w:pPr>
        <w:pStyle w:val="BodyText"/>
      </w:pPr>
      <w:r>
        <w:rPr>
          <w:b/>
          <w:bCs/>
        </w:rPr>
        <w:t xml:space="preserve">A.4 Non-WZDx Federal-Partner Feed Integration Patterns Research.</w:t>
      </w:r>
      <w:r>
        <w:t xml:space="preserve"> </w:t>
      </w:r>
      <w:r>
        <w:rPr>
          <w:i/>
          <w:iCs/>
        </w:rPr>
        <w:t xml:space="preserve">State lens:</w:t>
      </w:r>
      <w:r>
        <w:t xml:space="preserve"> </w:t>
      </w:r>
      <w:r>
        <w:t xml:space="preserve">State TMCs use NWS Alerts, CBP Border Wait Times, NPS Road Events, and IPAWS ad hoc — each with bespoke integration patterns. There is no canonical guidance for fusing these federal-partner feeds with state-published work zone and incident data.</w:t>
      </w:r>
      <w:r>
        <w:t xml:space="preserve"> </w:t>
      </w:r>
      <w:r>
        <w:rPr>
          <w:i/>
          <w:iCs/>
        </w:rPr>
        <w:t xml:space="preserve">Research scope:</w:t>
      </w:r>
      <w:r>
        <w:t xml:space="preserve"> </w:t>
      </w:r>
      <w:r>
        <w:t xml:space="preserve">Reference architecture and fusion patterns for federal-partner feed integration into state operations. Phase 1: feed inventory + integration-pattern survey (months 1–9). Phase 2: reference architecture (months 9–24). Phase 3: pilot with two to three states (months 24–36).</w:t>
      </w:r>
      <w:r>
        <w:t xml:space="preserve"> </w:t>
      </w:r>
      <w:r>
        <w:rPr>
          <w:i/>
          <w:iCs/>
        </w:rPr>
        <w:t xml:space="preserve">Owner:</w:t>
      </w:r>
      <w:r>
        <w:t xml:space="preserve"> </w:t>
      </w:r>
      <w:r>
        <w:t xml:space="preserve">FHWA RD&amp;T in coordination with FEMA, NWS, and CBP.</w:t>
      </w:r>
    </w:p>
    <w:p>
      <w:pPr>
        <w:pStyle w:val="BodyText"/>
      </w:pPr>
      <w:r>
        <w:rPr>
          <w:b/>
          <w:bCs/>
        </w:rPr>
        <w:t xml:space="preserve">A.5 Provenance and Lineage Standards Research.</w:t>
      </w:r>
      <w:r>
        <w:t xml:space="preserve"> </w:t>
      </w:r>
      <w:r>
        <w:rPr>
          <w:i/>
          <w:iCs/>
        </w:rPr>
        <w:t xml:space="preserve">State lens:</w:t>
      </w:r>
      <w:r>
        <w:t xml:space="preserve"> </w:t>
      </w:r>
      <w:r>
        <w:t xml:space="preserve">When two feeds report the same event with different fields, the consuming state cannot audit which source contributed which attribute. Cross-feed fusion is therefore not defensible to leadership when the data is questioned after an incident.</w:t>
      </w:r>
      <w:r>
        <w:t xml:space="preserve"> </w:t>
      </w:r>
      <w:r>
        <w:rPr>
          <w:i/>
          <w:iCs/>
        </w:rPr>
        <w:t xml:space="preserve">Research scope:</w:t>
      </w:r>
      <w:r>
        <w:t xml:space="preserve"> </w:t>
      </w:r>
      <w:r>
        <w:t xml:space="preserve">Provenance schema specification and reference implementation suitable for multi-source transportation event records. Phase 1: requirements + schema (months 1–9). Phase 2: reference implementation (months 9–24). Phase 3: integration with WZDx and related specs (months 24–36).</w:t>
      </w:r>
      <w:r>
        <w:t xml:space="preserve"> </w:t>
      </w:r>
      <w:r>
        <w:rPr>
          <w:i/>
          <w:iCs/>
        </w:rPr>
        <w:t xml:space="preserve">Owner:</w:t>
      </w:r>
      <w:r>
        <w:t xml:space="preserve"> </w:t>
      </w:r>
      <w:r>
        <w:t xml:space="preserve">TRB Cooperative Research Program.</w:t>
      </w:r>
    </w:p>
    <w:p>
      <w:pPr>
        <w:pStyle w:val="BodyText"/>
      </w:pPr>
      <w:r>
        <w:rPr>
          <w:b/>
          <w:bCs/>
        </w:rPr>
        <w:t xml:space="preserve">A.6 Field-Capture Provenance for Transportation Data.</w:t>
      </w:r>
      <w:r>
        <w:t xml:space="preserve"> </w:t>
      </w:r>
      <w:r>
        <w:rPr>
          <w:i/>
          <w:iCs/>
        </w:rPr>
        <w:t xml:space="preserve">State lens:</w:t>
      </w:r>
      <w:r>
        <w:t xml:space="preserve"> </w:t>
      </w:r>
      <w:r>
        <w:t xml:space="preserve">Mobile-app and field-tablet capture of temporary traffic control deployments, asset inspections, and as-built records is increasingly common in practitioner workflows, but there is no standard for linking a field-captured record back to the source authority, the certifying credential, the capture device, and the moment of capture. Downstream consumers — state asset systems, statewide WZDx feeds, project as-built archives — cannot trust the chain of custody for field-captured data.</w:t>
      </w:r>
      <w:r>
        <w:t xml:space="preserve"> </w:t>
      </w:r>
      <w:r>
        <w:rPr>
          <w:i/>
          <w:iCs/>
        </w:rPr>
        <w:t xml:space="preserve">Research scope:</w:t>
      </w:r>
      <w:r>
        <w:t xml:space="preserve"> </w:t>
      </w:r>
      <w:r>
        <w:t xml:space="preserve">Field-capture provenance specification covering temporary traffic control deployments, as-built captures (including AR- and LiDAR-assisted workflows), and asset inspections, with a reference implementation practitioner tools can adopt. Phase 1: practitioner workflow survey (months 1–6). Phase 2: specification authoring (months 6–24). Phase 3: reference implementation + pilot (months 24–36).</w:t>
      </w:r>
      <w:r>
        <w:t xml:space="preserve"> </w:t>
      </w:r>
      <w:r>
        <w:rPr>
          <w:i/>
          <w:iCs/>
        </w:rPr>
        <w:t xml:space="preserve">Owner:</w:t>
      </w:r>
      <w:r>
        <w:t xml:space="preserve"> </w:t>
      </w:r>
      <w:r>
        <w:t xml:space="preserve">FHWA RD&amp;T with TFHRC.</w:t>
      </w:r>
    </w:p>
    <w:bookmarkEnd w:id="16"/>
    <w:bookmarkStart w:id="17" w:name="X2a3e4861598db1f96d9c63742c10b03379cb621"/>
    <w:p>
      <w:pPr>
        <w:pStyle w:val="Heading3"/>
      </w:pPr>
      <w:r>
        <w:t xml:space="preserve">B. Data Quality, Measurement, and Validation</w:t>
      </w:r>
    </w:p>
    <w:p>
      <w:pPr>
        <w:pStyle w:val="FirstParagraph"/>
      </w:pPr>
      <w:r>
        <w:rPr>
          <w:b/>
          <w:bCs/>
        </w:rPr>
        <w:t xml:space="preserve">B.1 Standardized Data Quality Index Methodology Research.</w:t>
      </w:r>
      <w:r>
        <w:t xml:space="preserve"> </w:t>
      </w:r>
      <w:r>
        <w:rPr>
          <w:i/>
          <w:iCs/>
        </w:rPr>
        <w:t xml:space="preserve">State lens:</w:t>
      </w:r>
      <w:r>
        <w:t xml:space="preserve"> </w:t>
      </w:r>
      <w:r>
        <w:t xml:space="preserve">Each state and each vendor uses its own</w:t>
      </w:r>
      <w:r>
        <w:t xml:space="preserve"> </w:t>
      </w:r>
      <w:r>
        <w:t xml:space="preserve">“quality”</w:t>
      </w:r>
      <w:r>
        <w:t xml:space="preserve"> </w:t>
      </w:r>
      <w:r>
        <w:t xml:space="preserve">definition. State leadership therefore cannot compare quality claims across feed providers or against neighbor states.</w:t>
      </w:r>
      <w:r>
        <w:t xml:space="preserve"> </w:t>
      </w:r>
      <w:r>
        <w:rPr>
          <w:i/>
          <w:iCs/>
        </w:rPr>
        <w:t xml:space="preserve">Research scope:</w:t>
      </w:r>
      <w:r>
        <w:t xml:space="preserve"> </w:t>
      </w:r>
      <w:r>
        <w:t xml:space="preserve">Open, versioned Data Quality Index methodology applicable across transportation feed types, with published reference scores. Phase 1: methodology authoring (months 1–9). Phase 2: pilot scoring at scale (months 9–24). Phase 3: publication + governance handoff (months 24–30).</w:t>
      </w:r>
      <w:r>
        <w:t xml:space="preserve"> </w:t>
      </w:r>
      <w:r>
        <w:rPr>
          <w:i/>
          <w:iCs/>
        </w:rPr>
        <w:t xml:space="preserve">Owner:</w:t>
      </w:r>
      <w:r>
        <w:t xml:space="preserve"> </w:t>
      </w:r>
      <w:r>
        <w:t xml:space="preserve">FHWA RD&amp;T with NCHRP and the practitioner community.</w:t>
      </w:r>
    </w:p>
    <w:p>
      <w:pPr>
        <w:pStyle w:val="BodyText"/>
      </w:pPr>
      <w:r>
        <w:rPr>
          <w:b/>
          <w:bCs/>
        </w:rPr>
        <w:t xml:space="preserve">B.2 Ground Truth and Predictive Model Validation Research.</w:t>
      </w:r>
      <w:r>
        <w:t xml:space="preserve"> </w:t>
      </w:r>
      <w:r>
        <w:rPr>
          <w:i/>
          <w:iCs/>
        </w:rPr>
        <w:t xml:space="preserve">State lens:</w:t>
      </w:r>
      <w:r>
        <w:t xml:space="preserve"> </w:t>
      </w:r>
      <w:r>
        <w:t xml:space="preserve">States increasingly deploy predictive analytics for incidents, parking, and corridor delay. Each deployment defines its own</w:t>
      </w:r>
      <w:r>
        <w:t xml:space="preserve"> </w:t>
      </w:r>
      <w:r>
        <w:t xml:space="preserve">“good enough”</w:t>
      </w:r>
      <w:r>
        <w:t xml:space="preserve"> </w:t>
      </w:r>
      <w:r>
        <w:t xml:space="preserve">against its own observations. There is no shared validation framework.</w:t>
      </w:r>
      <w:r>
        <w:t xml:space="preserve"> </w:t>
      </w:r>
      <w:r>
        <w:rPr>
          <w:i/>
          <w:iCs/>
        </w:rPr>
        <w:t xml:space="preserve">Research scope:</w:t>
      </w:r>
      <w:r>
        <w:t xml:space="preserve"> </w:t>
      </w:r>
      <w:r>
        <w:t xml:space="preserve">Ground-truth protocols and reference validation datasets for incident, parking, delay, and equipment-health prediction. Phase 1: protocol design (months 1–9). Phase 2: dataset collection (months 9–24). Phase 3: publication (months 24–36).</w:t>
      </w:r>
      <w:r>
        <w:t xml:space="preserve"> </w:t>
      </w:r>
      <w:r>
        <w:rPr>
          <w:i/>
          <w:iCs/>
        </w:rPr>
        <w:t xml:space="preserve">Owner:</w:t>
      </w:r>
      <w:r>
        <w:t xml:space="preserve"> </w:t>
      </w:r>
      <w:r>
        <w:t xml:space="preserve">FHWA RD&amp;T, TFHRC, NCHRP.</w:t>
      </w:r>
    </w:p>
    <w:p>
      <w:pPr>
        <w:pStyle w:val="BodyText"/>
      </w:pPr>
      <w:r>
        <w:rPr>
          <w:b/>
          <w:bCs/>
        </w:rPr>
        <w:t xml:space="preserve">B.3 Coverage Gap and Cross-State Correlation Research.</w:t>
      </w:r>
      <w:r>
        <w:t xml:space="preserve"> </w:t>
      </w:r>
      <w:r>
        <w:rPr>
          <w:i/>
          <w:iCs/>
        </w:rPr>
        <w:t xml:space="preserve">State lens:</w:t>
      </w:r>
      <w:r>
        <w:t xml:space="preserve"> </w:t>
      </w:r>
      <w:r>
        <w:t xml:space="preserve">A state planning a multi-state operations strategy has no federally-curated, public view of where the national event picture is incomplete — which neighbors publish, what they publish, and where the gaps are.</w:t>
      </w:r>
      <w:r>
        <w:t xml:space="preserve"> </w:t>
      </w:r>
      <w:r>
        <w:rPr>
          <w:i/>
          <w:iCs/>
        </w:rPr>
        <w:t xml:space="preserve">Research scope:</w:t>
      </w:r>
      <w:r>
        <w:t xml:space="preserve"> </w:t>
      </w:r>
      <w:r>
        <w:t xml:space="preserve">Methodology and ongoing public assessment of national coverage gaps and cross-state event correlation reliability. Phase 1: methodology + initial assessment (months 1–12). Phase 2: continuous updating (months 12–30). Phase 3: reporting interface (months 30–36).</w:t>
      </w:r>
      <w:r>
        <w:t xml:space="preserve"> </w:t>
      </w:r>
      <w:r>
        <w:rPr>
          <w:i/>
          <w:iCs/>
        </w:rPr>
        <w:t xml:space="preserve">Owner:</w:t>
      </w:r>
      <w:r>
        <w:t xml:space="preserve"> </w:t>
      </w:r>
      <w:r>
        <w:t xml:space="preserve">FHWA RD&amp;T.</w:t>
      </w:r>
    </w:p>
    <w:bookmarkEnd w:id="17"/>
    <w:bookmarkStart w:id="18" w:name="c.-operations-workflows-and-coordination"/>
    <w:p>
      <w:pPr>
        <w:pStyle w:val="Heading3"/>
      </w:pPr>
      <w:r>
        <w:t xml:space="preserve">C. Operations Workflows and Coordination</w:t>
      </w:r>
    </w:p>
    <w:p>
      <w:pPr>
        <w:pStyle w:val="FirstParagraph"/>
      </w:pPr>
      <w:r>
        <w:rPr>
          <w:b/>
          <w:bCs/>
        </w:rPr>
        <w:t xml:space="preserve">C.1 Multi-State Closure Approval and Diversion Coordination Research.</w:t>
      </w:r>
      <w:r>
        <w:t xml:space="preserve"> </w:t>
      </w:r>
      <w:r>
        <w:rPr>
          <w:i/>
          <w:iCs/>
        </w:rPr>
        <w:t xml:space="preserve">State lens:</w:t>
      </w:r>
      <w:r>
        <w:t xml:space="preserve"> </w:t>
      </w:r>
      <w:r>
        <w:t xml:space="preserve">Multi-state freight-corridor closures and diversions today coordinate by phone and email between state TMCs. There is no federal protocol or data-exchange standard supporting cross-state coordination at operational tempo.</w:t>
      </w:r>
      <w:r>
        <w:t xml:space="preserve"> </w:t>
      </w:r>
      <w:r>
        <w:rPr>
          <w:i/>
          <w:iCs/>
        </w:rPr>
        <w:t xml:space="preserve">Research scope:</w:t>
      </w:r>
      <w:r>
        <w:t xml:space="preserve"> </w:t>
      </w:r>
      <w:r>
        <w:t xml:space="preserve">Reference coordination protocol and supporting data-exchange specification for multi-state planned closures and diversion routes. Phase 1: process and gap analysis (months 1–9). Phase 2: protocol design (months 9–24). Phase 3: pilot with two to three corridors (months 24–36).</w:t>
      </w:r>
      <w:r>
        <w:t xml:space="preserve"> </w:t>
      </w:r>
      <w:r>
        <w:rPr>
          <w:i/>
          <w:iCs/>
        </w:rPr>
        <w:t xml:space="preserve">Owner:</w:t>
      </w:r>
      <w:r>
        <w:t xml:space="preserve"> </w:t>
      </w:r>
      <w:r>
        <w:t xml:space="preserve">FHWA RD&amp;T with AASHTO.</w:t>
      </w:r>
    </w:p>
    <w:p>
      <w:pPr>
        <w:pStyle w:val="BodyText"/>
      </w:pPr>
      <w:r>
        <w:rPr>
          <w:b/>
          <w:bCs/>
        </w:rPr>
        <w:t xml:space="preserve">C.2 Dynamic Message Sign Messaging Conformance and Effectiveness Research.</w:t>
      </w:r>
      <w:r>
        <w:t xml:space="preserve"> </w:t>
      </w:r>
      <w:r>
        <w:rPr>
          <w:i/>
          <w:iCs/>
        </w:rPr>
        <w:t xml:space="preserve">State lens:</w:t>
      </w:r>
      <w:r>
        <w:t xml:space="preserve"> </w:t>
      </w:r>
      <w:r>
        <w:t xml:space="preserve">The same multi-state incident is signed differently in each state the driver passes through. Inconsistency is well-known to state DOT operations leadership; its effectiveness cost is not well-characterized.</w:t>
      </w:r>
      <w:r>
        <w:t xml:space="preserve"> </w:t>
      </w:r>
      <w:r>
        <w:rPr>
          <w:i/>
          <w:iCs/>
        </w:rPr>
        <w:t xml:space="preserve">Research scope:</w:t>
      </w:r>
      <w:r>
        <w:t xml:space="preserve"> </w:t>
      </w:r>
      <w:r>
        <w:t xml:space="preserve">Empirical effectiveness research and a recommended cross-state message-pattern library. Phase 1: cross-state DMS messaging audit (months 1–9). Phase 2: effectiveness study (months 9–24). Phase 3: pattern library publication (months 24–36).</w:t>
      </w:r>
      <w:r>
        <w:t xml:space="preserve"> </w:t>
      </w:r>
      <w:r>
        <w:rPr>
          <w:i/>
          <w:iCs/>
        </w:rPr>
        <w:t xml:space="preserve">Owner:</w:t>
      </w:r>
      <w:r>
        <w:t xml:space="preserve"> </w:t>
      </w:r>
      <w:r>
        <w:t xml:space="preserve">FHWA RD&amp;T with state DOT participation.</w:t>
      </w:r>
    </w:p>
    <w:p>
      <w:pPr>
        <w:pStyle w:val="BodyText"/>
      </w:pPr>
      <w:r>
        <w:rPr>
          <w:b/>
          <w:bCs/>
        </w:rPr>
        <w:t xml:space="preserve">C.3 Truck-Parking Sensor Data Quality Research.</w:t>
      </w:r>
      <w:r>
        <w:t xml:space="preserve"> </w:t>
      </w:r>
      <w:r>
        <w:rPr>
          <w:i/>
          <w:iCs/>
        </w:rPr>
        <w:t xml:space="preserve">State lens:</w:t>
      </w:r>
      <w:r>
        <w:t xml:space="preserve"> </w:t>
      </w:r>
      <w:r>
        <w:t xml:space="preserve">MAASTO TPIMS demonstrates that federal coordination of state data systems works at the protocol level. The limiting factor on impact is sensor data quality — a substantial portion of Illinois sites currently flag their own data as untrusted. This is a TFHRC sensors lab question, not a state question.</w:t>
      </w:r>
      <w:r>
        <w:t xml:space="preserve"> </w:t>
      </w:r>
      <w:r>
        <w:rPr>
          <w:i/>
          <w:iCs/>
        </w:rPr>
        <w:t xml:space="preserve">Research scope:</w:t>
      </w:r>
      <w:r>
        <w:t xml:space="preserve"> </w:t>
      </w:r>
      <w:r>
        <w:t xml:space="preserve">Sensor reliability research, calibration methodology, and reference deployment guidance for truck parking sensing. Phase 1: failure-mode characterization (months 1–9). Phase 2: calibration methodology (months 9–24). Phase 3: reference deployment guidance (months 24–36).</w:t>
      </w:r>
      <w:r>
        <w:t xml:space="preserve"> </w:t>
      </w:r>
      <w:r>
        <w:rPr>
          <w:i/>
          <w:iCs/>
        </w:rPr>
        <w:t xml:space="preserve">Owner:</w:t>
      </w:r>
      <w:r>
        <w:t xml:space="preserve"> </w:t>
      </w:r>
      <w:r>
        <w:t xml:space="preserve">FHWA RD&amp;T and TFHRC sensors lab.</w:t>
      </w:r>
    </w:p>
    <w:p>
      <w:pPr>
        <w:pStyle w:val="BodyText"/>
      </w:pPr>
      <w:r>
        <w:rPr>
          <w:b/>
          <w:bCs/>
        </w:rPr>
        <w:t xml:space="preserve">C.4 Work Zone Reality vs. Reported Data Reconciliation Research.</w:t>
      </w:r>
      <w:r>
        <w:t xml:space="preserve"> </w:t>
      </w:r>
      <w:r>
        <w:rPr>
          <w:i/>
          <w:iCs/>
        </w:rPr>
        <w:t xml:space="preserve">State lens:</w:t>
      </w:r>
      <w:r>
        <w:t xml:space="preserve"> </w:t>
      </w:r>
      <w:r>
        <w:t xml:space="preserve">Statewide WZDx feeds publish what permit and planning data say a work zone looks like. The actual temporary traffic control deployed on the ground often differs — lane configuration, sign positioning, hours of activity, deployed devices. The two are rarely reconciled, and downstream operations decisions made on the published data are systematically biased. Field-app deployment data captured by certified crews represents an under-utilized authoritative source for closing the loop.</w:t>
      </w:r>
      <w:r>
        <w:t xml:space="preserve"> </w:t>
      </w:r>
      <w:r>
        <w:rPr>
          <w:i/>
          <w:iCs/>
        </w:rPr>
        <w:t xml:space="preserve">Research scope:</w:t>
      </w:r>
      <w:r>
        <w:t xml:space="preserve"> </w:t>
      </w:r>
      <w:r>
        <w:t xml:space="preserve">Methodology and reference exchange pattern for reconciling field-captured TTC deployment data with statewide WZDx and incident feeds. Phase 1: practitioner workflow survey + gap analysis (months 1–9). Phase 2: reconciliation methodology + reference exchange spec (months 9–24). Phase 3: pilot with state DOTs whose contractors capture deployment data digitally (months 24–36).</w:t>
      </w:r>
      <w:r>
        <w:t xml:space="preserve"> </w:t>
      </w:r>
      <w:r>
        <w:rPr>
          <w:i/>
          <w:iCs/>
        </w:rPr>
        <w:t xml:space="preserve">Owner:</w:t>
      </w:r>
      <w:r>
        <w:t xml:space="preserve"> </w:t>
      </w:r>
      <w:r>
        <w:t xml:space="preserve">FHWA RD&amp;T with AASHTO Work Zone Subcommittee and ATSSA.</w:t>
      </w:r>
    </w:p>
    <w:p>
      <w:pPr>
        <w:pStyle w:val="BodyText"/>
      </w:pPr>
      <w:r>
        <w:rPr>
          <w:b/>
          <w:bCs/>
        </w:rPr>
        <w:t xml:space="preserve">C.5 Certified Traffic Control Supervisor Credential Interoperability Research.</w:t>
      </w:r>
      <w:r>
        <w:t xml:space="preserve"> </w:t>
      </w:r>
      <w:r>
        <w:rPr>
          <w:i/>
          <w:iCs/>
        </w:rPr>
        <w:t xml:space="preserve">State lens:</w:t>
      </w:r>
      <w:r>
        <w:t xml:space="preserve"> </w:t>
      </w:r>
      <w:r>
        <w:t xml:space="preserve">Certified TCS credentials are state-specific. Multi-state contractors maintain duplicate certifications, and state operations leadership has no federally-recognized way to verify a TCS credential issued elsewhere when reviewing a non-local crew’s deployment. Credential portability is an operational and equity issue both.</w:t>
      </w:r>
      <w:r>
        <w:t xml:space="preserve"> </w:t>
      </w:r>
      <w:r>
        <w:rPr>
          <w:i/>
          <w:iCs/>
        </w:rPr>
        <w:t xml:space="preserve">Research scope:</w:t>
      </w:r>
      <w:r>
        <w:t xml:space="preserve"> </w:t>
      </w:r>
      <w:r>
        <w:t xml:space="preserve">Inventory of state TCS certification programs; cross-recognition data model; reference reciprocity pilot. Phase 1: program inventory (months 1–6). Phase 2: data model + reciprocity framework (months 6–24). Phase 3: multi-state pilot (months 24–36).</w:t>
      </w:r>
      <w:r>
        <w:t xml:space="preserve"> </w:t>
      </w:r>
      <w:r>
        <w:rPr>
          <w:i/>
          <w:iCs/>
        </w:rPr>
        <w:t xml:space="preserve">Owner:</w:t>
      </w:r>
      <w:r>
        <w:t xml:space="preserve"> </w:t>
      </w:r>
      <w:r>
        <w:t xml:space="preserve">FHWA RD&amp;T with AASHTO and ATSSA.</w:t>
      </w:r>
    </w:p>
    <w:bookmarkEnd w:id="18"/>
    <w:bookmarkStart w:id="19" w:name="X07e087bb51ae179f6b95af6295232a687ef5729"/>
    <w:p>
      <w:pPr>
        <w:pStyle w:val="Heading3"/>
      </w:pPr>
      <w:r>
        <w:t xml:space="preserve">D. Compliance, Regulatory, and Permit Interoperability</w:t>
      </w:r>
    </w:p>
    <w:p>
      <w:pPr>
        <w:pStyle w:val="FirstParagraph"/>
      </w:pPr>
      <w:r>
        <w:rPr>
          <w:b/>
          <w:bCs/>
        </w:rPr>
        <w:t xml:space="preserve">D.1 IPAWS Road-Impact Authoring Conformance Research.</w:t>
      </w:r>
      <w:r>
        <w:t xml:space="preserve"> </w:t>
      </w:r>
      <w:r>
        <w:rPr>
          <w:i/>
          <w:iCs/>
        </w:rPr>
        <w:t xml:space="preserve">State lens:</w:t>
      </w:r>
      <w:r>
        <w:t xml:space="preserve"> </w:t>
      </w:r>
      <w:r>
        <w:t xml:space="preserve">IPAWS is a federal capability state DOTs use unevenly. From the state side, the on-ramp from operational events to CAP-compliant authoring is unclear and inconsistent.</w:t>
      </w:r>
      <w:r>
        <w:t xml:space="preserve"> </w:t>
      </w:r>
      <w:r>
        <w:rPr>
          <w:i/>
          <w:iCs/>
        </w:rPr>
        <w:t xml:space="preserve">Research scope:</w:t>
      </w:r>
      <w:r>
        <w:t xml:space="preserve"> </w:t>
      </w:r>
      <w:r>
        <w:t xml:space="preserve">Conformance methodology and per-state assessment of road-impact IPAWS authoring; operator-workflow integration patterns. Phase 1: state survey (months 1–9). Phase 2: methodology + assessment (months 9–24). Phase 3: integration-pattern publication (months 24–30).</w:t>
      </w:r>
      <w:r>
        <w:t xml:space="preserve"> </w:t>
      </w:r>
      <w:r>
        <w:rPr>
          <w:i/>
          <w:iCs/>
        </w:rPr>
        <w:t xml:space="preserve">Owner:</w:t>
      </w:r>
      <w:r>
        <w:t xml:space="preserve"> </w:t>
      </w:r>
      <w:r>
        <w:t xml:space="preserve">FHWA RD&amp;T with FEMA IPAWS Program Office.</w:t>
      </w:r>
    </w:p>
    <w:p>
      <w:pPr>
        <w:pStyle w:val="BodyText"/>
      </w:pPr>
      <w:r>
        <w:rPr>
          <w:b/>
          <w:bCs/>
        </w:rPr>
        <w:t xml:space="preserve">D.2 OS/OW Permit-Rule Interoperability Research.</w:t>
      </w:r>
      <w:r>
        <w:t xml:space="preserve"> </w:t>
      </w:r>
      <w:r>
        <w:rPr>
          <w:i/>
          <w:iCs/>
        </w:rPr>
        <w:t xml:space="preserve">State lens:</w:t>
      </w:r>
      <w:r>
        <w:t xml:space="preserve"> </w:t>
      </w:r>
      <w:r>
        <w:t xml:space="preserve">States have made significant individual progress on oversize/overweight permit-rule digitization. Cross-state corridor consistency remains poor in structure, vocabulary, and exchange. Freight carriers and routing engines absorb that cost.</w:t>
      </w:r>
      <w:r>
        <w:t xml:space="preserve"> </w:t>
      </w:r>
      <w:r>
        <w:rPr>
          <w:i/>
          <w:iCs/>
        </w:rPr>
        <w:t xml:space="preserve">Research scope:</w:t>
      </w:r>
      <w:r>
        <w:t xml:space="preserve"> </w:t>
      </w:r>
      <w:r>
        <w:t xml:space="preserve">Permit-rule data model and exchange specification. Phase 1: state-by-state encoding survey (months 1–9). Phase 2: data model design (months 9–24). Phase 3: pilot exchange across a NASCO corridor (months 24–36).</w:t>
      </w:r>
      <w:r>
        <w:t xml:space="preserve"> </w:t>
      </w:r>
      <w:r>
        <w:rPr>
          <w:i/>
          <w:iCs/>
        </w:rPr>
        <w:t xml:space="preserve">Owner:</w:t>
      </w:r>
      <w:r>
        <w:t xml:space="preserve"> </w:t>
      </w:r>
      <w:r>
        <w:t xml:space="preserve">FHWA RD&amp;T with NASCO and AASHTO.</w:t>
      </w:r>
    </w:p>
    <w:p>
      <w:pPr>
        <w:pStyle w:val="BodyText"/>
      </w:pPr>
      <w:r>
        <w:rPr>
          <w:b/>
          <w:bCs/>
        </w:rPr>
        <w:t xml:space="preserve">D.3 Bridge-Clearance and Restriction Data Interoperability Research.</w:t>
      </w:r>
      <w:r>
        <w:t xml:space="preserve"> </w:t>
      </w:r>
      <w:r>
        <w:rPr>
          <w:i/>
          <w:iCs/>
        </w:rPr>
        <w:t xml:space="preserve">State lens:</w:t>
      </w:r>
      <w:r>
        <w:t xml:space="preserve"> </w:t>
      </w:r>
      <w:r>
        <w:t xml:space="preserve">Bridge clearance data is heterogeneous across states (units, datum reference, posted vs. measured); over-height-vehicle routing fails at state lines because of it.</w:t>
      </w:r>
      <w:r>
        <w:t xml:space="preserve"> </w:t>
      </w:r>
      <w:r>
        <w:rPr>
          <w:i/>
          <w:iCs/>
        </w:rPr>
        <w:t xml:space="preserve">Research scope:</w:t>
      </w:r>
      <w:r>
        <w:t xml:space="preserve"> </w:t>
      </w:r>
      <w:r>
        <w:t xml:space="preserve">Standard exchange format for low-clearance, weight-restricted, and hazardous-cargo-restricted infrastructure inventory. Phase 1: state inventory survey (months 1–9). Phase 2: data model (months 9–24). Phase 3: pilot exchange (months 24–36).</w:t>
      </w:r>
      <w:r>
        <w:t xml:space="preserve"> </w:t>
      </w:r>
      <w:r>
        <w:rPr>
          <w:i/>
          <w:iCs/>
        </w:rPr>
        <w:t xml:space="preserve">Owner:</w:t>
      </w:r>
      <w:r>
        <w:t xml:space="preserve"> </w:t>
      </w:r>
      <w:r>
        <w:t xml:space="preserve">FHWA RD&amp;T with AASHTO Bridges Committee.</w:t>
      </w:r>
    </w:p>
    <w:bookmarkEnd w:id="19"/>
    <w:bookmarkStart w:id="20" w:name="e.-decision-support-and-asset-management"/>
    <w:p>
      <w:pPr>
        <w:pStyle w:val="Heading3"/>
      </w:pPr>
      <w:r>
        <w:t xml:space="preserve">E. Decision Support and Asset Management</w:t>
      </w:r>
    </w:p>
    <w:p>
      <w:pPr>
        <w:pStyle w:val="FirstParagraph"/>
      </w:pPr>
      <w:r>
        <w:rPr>
          <w:b/>
          <w:bCs/>
        </w:rPr>
        <w:t xml:space="preserve">E.1 Asset Health and ITS Equipment Status Interoperability Research.</w:t>
      </w:r>
      <w:r>
        <w:t xml:space="preserve"> </w:t>
      </w:r>
      <w:r>
        <w:rPr>
          <w:i/>
          <w:iCs/>
        </w:rPr>
        <w:t xml:space="preserve">State lens:</w:t>
      </w:r>
      <w:r>
        <w:t xml:space="preserve"> </w:t>
      </w:r>
      <w:r>
        <w:t xml:space="preserve">State asset-health data — cameras, DMS, RWIS, V2X RSUs — exists per-state with no exchange standard. Cross-state coordination and federal asset-management RD&amp;T both suffer.</w:t>
      </w:r>
      <w:r>
        <w:t xml:space="preserve"> </w:t>
      </w:r>
      <w:r>
        <w:rPr>
          <w:i/>
          <w:iCs/>
        </w:rPr>
        <w:t xml:space="preserve">Research scope:</w:t>
      </w:r>
      <w:r>
        <w:t xml:space="preserve"> </w:t>
      </w:r>
      <w:r>
        <w:t xml:space="preserve">Equipment status schema and reference implementation. Phase 1: requirements (months 1–9). Phase 2: schema + reference impl. (months 9–24). Phase 3: pilot with three states (months 24–36).</w:t>
      </w:r>
      <w:r>
        <w:t xml:space="preserve"> </w:t>
      </w:r>
      <w:r>
        <w:rPr>
          <w:i/>
          <w:iCs/>
        </w:rPr>
        <w:t xml:space="preserve">Owner:</w:t>
      </w:r>
      <w:r>
        <w:t xml:space="preserve"> </w:t>
      </w:r>
      <w:r>
        <w:t xml:space="preserve">FHWA RD&amp;T and TFHRC operations lab.</w:t>
      </w:r>
    </w:p>
    <w:p>
      <w:pPr>
        <w:pStyle w:val="BodyText"/>
      </w:pPr>
      <w:r>
        <w:rPr>
          <w:b/>
          <w:bCs/>
        </w:rPr>
        <w:t xml:space="preserve">E.2 Digital Project Delivery — Transportation IFC/BIM Profile Research.</w:t>
      </w:r>
      <w:r>
        <w:t xml:space="preserve"> </w:t>
      </w:r>
      <w:r>
        <w:rPr>
          <w:i/>
          <w:iCs/>
        </w:rPr>
        <w:t xml:space="preserve">State lens:</w:t>
      </w:r>
      <w:r>
        <w:t xml:space="preserve"> </w:t>
      </w:r>
      <w:r>
        <w:t xml:space="preserve">States are being asked to deliver digitally; IFC was designed for vertical construction and transportation use is inconsistent. The Letter Report’s promise of</w:t>
      </w:r>
      <w:r>
        <w:t xml:space="preserve"> </w:t>
      </w:r>
      <w:r>
        <w:t xml:space="preserve">“accelerating delivery of highway projects”</w:t>
      </w:r>
      <w:r>
        <w:t xml:space="preserve"> </w:t>
      </w:r>
      <w:r>
        <w:t xml:space="preserve">depends on this profile existing — and on as-built data captured in the field (utility lines, drainage structures, ITS conduit, surface assets) being able to flow into it without translation loss.</w:t>
      </w:r>
      <w:r>
        <w:t xml:space="preserve"> </w:t>
      </w:r>
      <w:r>
        <w:rPr>
          <w:i/>
          <w:iCs/>
        </w:rPr>
        <w:t xml:space="preserve">Research scope:</w:t>
      </w:r>
      <w:r>
        <w:t xml:space="preserve"> </w:t>
      </w:r>
      <w:r>
        <w:t xml:space="preserve">Transportation IFC profile, metadata standards, and reference exchange tooling, with explicit attention to as-built capture workflows including emerging AR- and LiDAR-assisted field methods. Phase 1: requirements + profile draft (months 1–12). Phase 2: pilot exchange (months 12–24). Phase 3: standards-body submission (months 24–36).</w:t>
      </w:r>
      <w:r>
        <w:t xml:space="preserve"> </w:t>
      </w:r>
      <w:r>
        <w:rPr>
          <w:i/>
          <w:iCs/>
        </w:rPr>
        <w:t xml:space="preserve">Owner:</w:t>
      </w:r>
      <w:r>
        <w:t xml:space="preserve"> </w:t>
      </w:r>
      <w:r>
        <w:t xml:space="preserve">TFHRC infrastructure RD&amp;T.</w:t>
      </w:r>
    </w:p>
    <w:p>
      <w:pPr>
        <w:pStyle w:val="BodyText"/>
      </w:pPr>
      <w:r>
        <w:rPr>
          <w:b/>
          <w:bCs/>
        </w:rPr>
        <w:t xml:space="preserve">E.3 Subsurface Utility Engineering and Right-of-Way Utility Data Interoperability Research.</w:t>
      </w:r>
      <w:r>
        <w:t xml:space="preserve"> </w:t>
      </w:r>
      <w:r>
        <w:rPr>
          <w:i/>
          <w:iCs/>
        </w:rPr>
        <w:t xml:space="preserve">State lens:</w:t>
      </w:r>
      <w:r>
        <w:t xml:space="preserve"> </w:t>
      </w:r>
      <w:r>
        <w:t xml:space="preserve">ROW utility data is captured per-project, per-utility, per-state, with no unified schema. Subsurface Utility Engineering Quality Level data flows are ad hoc. Cross-project and cross-jurisdictional reuse of utility location data is therefore not possible at scale, and the same utilities are re-located in the field on every adjacent project at compounding cost. AR- and LiDAR-assisted field capture is emerging as a practitioner-side response without exchange standards to support it.</w:t>
      </w:r>
      <w:r>
        <w:t xml:space="preserve"> </w:t>
      </w:r>
      <w:r>
        <w:rPr>
          <w:i/>
          <w:iCs/>
        </w:rPr>
        <w:t xml:space="preserve">Research scope:</w:t>
      </w:r>
      <w:r>
        <w:t xml:space="preserve"> </w:t>
      </w:r>
      <w:r>
        <w:t xml:space="preserve">Reference data model for ROW utility records spanning SUE Quality Levels A–D, as-built capture methods, and downstream BIM/IFC integration; reference exchange specification. Phase 1: practitioner-tool and state-program inventory (months 1–9). Phase 2: data model + exchange spec (months 9–24). Phase 3: pilot with a multi-utility, multi-state corridor (months 24–36).</w:t>
      </w:r>
      <w:r>
        <w:t xml:space="preserve"> </w:t>
      </w:r>
      <w:r>
        <w:rPr>
          <w:i/>
          <w:iCs/>
        </w:rPr>
        <w:t xml:space="preserve">Owner:</w:t>
      </w:r>
      <w:r>
        <w:t xml:space="preserve"> </w:t>
      </w:r>
      <w:r>
        <w:t xml:space="preserve">FHWA RD&amp;T with AASHTO Subsurface Utility Engineering Committee and the Common Ground Alliance.</w:t>
      </w:r>
    </w:p>
    <w:bookmarkEnd w:id="20"/>
    <w:bookmarkStart w:id="21" w:name="Xc2a641a036e347f4ba75126a2ccc14e23a9e6ed"/>
    <w:p>
      <w:pPr>
        <w:pStyle w:val="Heading3"/>
      </w:pPr>
      <w:r>
        <w:t xml:space="preserve">F. Vendor Transparency and Practitioner Costs</w:t>
      </w:r>
    </w:p>
    <w:p>
      <w:pPr>
        <w:pStyle w:val="FirstParagraph"/>
      </w:pPr>
      <w:r>
        <w:rPr>
          <w:b/>
          <w:bCs/>
        </w:rPr>
        <w:t xml:space="preserve">F.1 Independent Comparative Evaluation Methodology for Commercial Data Products.</w:t>
      </w:r>
      <w:r>
        <w:t xml:space="preserve"> </w:t>
      </w:r>
      <w:r>
        <w:rPr>
          <w:i/>
          <w:iCs/>
        </w:rPr>
        <w:t xml:space="preserve">State lens:</w:t>
      </w:r>
      <w:r>
        <w:t xml:space="preserve"> </w:t>
      </w:r>
      <w:r>
        <w:t xml:space="preserve">Each state’s procurement cycle replicates substantially the same RFP and vendor-comparison work. No federally-curated methodology exists. The cost to states is direct and recurring.</w:t>
      </w:r>
      <w:r>
        <w:t xml:space="preserve"> </w:t>
      </w:r>
      <w:r>
        <w:rPr>
          <w:i/>
          <w:iCs/>
        </w:rPr>
        <w:t xml:space="preserve">Research scope:</w:t>
      </w:r>
      <w:r>
        <w:t xml:space="preserve"> </w:t>
      </w:r>
      <w:r>
        <w:t xml:space="preserve">Open methodology and empirical findings for head-to-head evaluation of probe, incident, and work-zone data products. Phase 1: methodology design (months 1–9). Phase 2: empirical evaluation cycle (months 9–24). Phase 3: publication (months 24–30). Explicitly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procurement recommendations or product endorsements.</w:t>
      </w:r>
      <w:r>
        <w:t xml:space="preserve"> </w:t>
      </w:r>
      <w:r>
        <w:rPr>
          <w:i/>
          <w:iCs/>
        </w:rPr>
        <w:t xml:space="preserve">Owner:</w:t>
      </w:r>
      <w:r>
        <w:t xml:space="preserve"> </w:t>
      </w:r>
      <w:r>
        <w:t xml:space="preserve">FHWA RD&amp;T and NCHRP joint topic.</w:t>
      </w:r>
    </w:p>
    <w:p>
      <w:pPr>
        <w:pStyle w:val="BodyText"/>
      </w:pPr>
      <w:r>
        <w:rPr>
          <w:b/>
          <w:bCs/>
        </w:rPr>
        <w:t xml:space="preserve">F.2 Downstream-Cost Research on TFHRC External-Engagement Constraints.</w:t>
      </w:r>
      <w:r>
        <w:t xml:space="preserve"> </w:t>
      </w:r>
      <w:r>
        <w:rPr>
          <w:i/>
          <w:iCs/>
        </w:rPr>
        <w:t xml:space="preserve">State lens:</w:t>
      </w:r>
      <w:r>
        <w:t xml:space="preserve"> </w:t>
      </w:r>
      <w:r>
        <w:t xml:space="preserve">As a state-side consumer of federal research, the constraints flagged in Letter Report Recommendation 2 are not abstract — HSIS dark-out, reduced AMRP detail, reduced conference engagement each have measurable downstream costs in state operations and research efficiency.</w:t>
      </w:r>
      <w:r>
        <w:t xml:space="preserve"> </w:t>
      </w:r>
      <w:r>
        <w:rPr>
          <w:i/>
          <w:iCs/>
        </w:rPr>
        <w:t xml:space="preserve">Research scope:</w:t>
      </w:r>
      <w:r>
        <w:t xml:space="preserve"> </w:t>
      </w:r>
      <w:r>
        <w:t xml:space="preserve">Empirical characterization of downstream cost to inform process change inside FHWA. Phase 1: practitioner survey (months 1–6). Phase 2: empirical assessment (months 6–18). Phase 3: synthesis report (months 18–24).</w:t>
      </w:r>
      <w:r>
        <w:t xml:space="preserve"> </w:t>
      </w:r>
      <w:r>
        <w:rPr>
          <w:i/>
          <w:iCs/>
        </w:rPr>
        <w:t xml:space="preserve">Owner:</w:t>
      </w:r>
      <w:r>
        <w:t xml:space="preserve"> </w:t>
      </w:r>
      <w:r>
        <w:t xml:space="preserve">TRB Cooperative Research Program.</w:t>
      </w:r>
    </w:p>
    <w:bookmarkEnd w:id="21"/>
    <w:bookmarkEnd w:id="22"/>
    <w:bookmarkStart w:id="23" w:name="closing"/>
    <w:p>
      <w:pPr>
        <w:pStyle w:val="Heading2"/>
      </w:pPr>
      <w:r>
        <w:t xml:space="preserve">Closing</w:t>
      </w:r>
    </w:p>
    <w:p>
      <w:pPr>
        <w:pStyle w:val="FirstParagraph"/>
      </w:pPr>
      <w:r>
        <w:t xml:space="preserve">The recommendations above are submitted as inputs to the Committee’s deliberations. I would welcome the opportunity to elaborate on any item the Committee chooses to consider further, and I defer entirely to the Committee’s process on which to advance, which to refine, and which to set aside. As a new member, I am aware that the value of these inputs is determined by how they survive the Committee’s collective deliberation rather than by their individual merits as offered.</w:t>
      </w:r>
    </w:p>
    <w:p>
      <w:pPr>
        <w:pStyle w:val="BodyText"/>
      </w:pPr>
      <w:r>
        <w:t xml:space="preserve">Respectfully submitted,</w:t>
      </w:r>
    </w:p>
    <w:p>
      <w:pPr>
        <w:pStyle w:val="BodyText"/>
      </w:pPr>
      <w:r>
        <w:rPr>
          <w:b/>
          <w:bCs/>
        </w:rPr>
        <w:t xml:space="preserve">Matt Miller</w:t>
      </w:r>
      <w:r>
        <w:t xml:space="preserve"> </w:t>
      </w:r>
      <w:r>
        <w:t xml:space="preserve">mattmilleriowa@gmail.com</w:t>
      </w:r>
    </w:p>
    <w:p>
      <w:r>
        <w:pict>
          <v:rect style="width:0;height:1.5pt" o:hralign="center" o:hrstd="t" o:hr="t"/>
        </w:pic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This memorandum and the empirical observations cited within it are submitted in a personal research capacity. The integration environment referenced is operated privately for research purposes; no portion of it is offered for the Committee’s evaluation, funding, or adoption.</w:t>
      </w:r>
    </w:p>
  </w:footnote>
  <w:footnote w:id="1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National Academies of Sciences, Engineering, and Medicine. 2025.</w:t>
      </w:r>
      <w:r>
        <w:t xml:space="preserve"> </w:t>
      </w:r>
      <w:r>
        <w:rPr>
          <w:i/>
          <w:iCs/>
        </w:rPr>
        <w:t xml:space="preserve">Research and Technology Coordinating Committee Letter Report: September 2025.</w:t>
      </w:r>
      <w:r>
        <w:t xml:space="preserve"> </w:t>
      </w:r>
      <w:r>
        <w:t xml:space="preserve">Washington, DC: The National Academies Press. https://doi.org/10.17226/29262</w:t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Methodology: state counts and feed coverage are verified against the USDOT Work Zone Data Exchange Feed Registry (https://data.transportation.gov/resource/69qe-yiui.json) as of May 8, 2026, cross-checked against direct fetch of each registered endpoint.</w:t>
      </w:r>
      <w:r>
        <w:t xml:space="preserve"> </w:t>
      </w:r>
      <w:r>
        <w:t xml:space="preserve">“No public WZDx feed”</w:t>
      </w:r>
      <w:r>
        <w:t xml:space="preserve"> </w:t>
      </w:r>
      <w:r>
        <w:t xml:space="preserve">means no entry in the federal registry and no publicly-accessible WZDx-conformant endpoint identifiable on the state DOT or 511 developer pages.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2026-05-12T02:39:23Z</dcterms:created>
  <dcterms:modified xsi:type="dcterms:W3CDTF">2026-05-12T02:39:23Z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