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c8d9809bf206b424e6a503dcec47e31830ffdd2"/>
    <w:p>
      <w:pPr>
        <w:pStyle w:val="Heading1"/>
      </w:pPr>
      <w:r>
        <w:t xml:space="preserve">Federal Research Needs — Digital Infrastructure Interoperability</w:t>
      </w:r>
    </w:p>
    <w:p>
      <w:pPr>
        <w:pStyle w:val="FirstParagraph"/>
      </w:pPr>
      <w:r>
        <w:rPr>
          <w:b/>
          <w:bCs/>
        </w:rPr>
        <w:t xml:space="preserve">Talking Points · RTCC Meeting · May 2026</w:t>
      </w:r>
      <w:r>
        <w:t xml:space="preserve"> </w:t>
      </w:r>
      <w:r>
        <w:rPr>
          <w:b/>
          <w:bCs/>
        </w:rPr>
        <w:t xml:space="preserve">Matt Miller — state-side perspective on a national problem</w:t>
      </w:r>
    </w:p>
    <w:p>
      <w:pPr>
        <w:pStyle w:val="BodyText"/>
      </w:pPr>
      <w:r>
        <w:rPr>
          <w:b/>
          <w:bCs/>
        </w:rPr>
        <w:t xml:space="preserve">Framing:</w:t>
      </w:r>
      <w:r>
        <w:t xml:space="preserve"> </w:t>
      </w:r>
      <w:r>
        <w:t xml:space="preserve">state DOTs are individually responsible for safe, efficient, multi-jurisdictional corridors. The digital infrastructure connecting them is decentralized and unevenly conformant; states cannot harmonize it from where they sit. The recommendations below are research investments shaped to a 2–3 year federal RD&amp;T cycle, additive to existing FHWA / ITS-JPO / TFHRC / NCHRP / NPMRDS / AASHTO standards work. None propose any product, system, or service for adoption.</w:t>
      </w:r>
    </w:p>
    <w:p>
      <w:r>
        <w:pict>
          <v:rect style="width:0;height:1.5pt" o:hralign="center" o:hrstd="t" o:hr="t"/>
        </w:pict>
      </w:r>
    </w:p>
    <w:bookmarkStart w:id="15" w:name="Xb45621dd6324fbdeff9c7738152b6057a39b610"/>
    <w:p>
      <w:pPr>
        <w:pStyle w:val="Heading2"/>
      </w:pPr>
      <w:r>
        <w:t xml:space="preserve">A. Feeds, Standards, and Interoperability Measurement</w:t>
      </w:r>
    </w:p>
    <w:bookmarkStart w:id="9" w:name="measurement-of-interoperability-research"/>
    <w:p>
      <w:pPr>
        <w:pStyle w:val="Heading3"/>
      </w:pPr>
      <w:r>
        <w:t xml:space="preserve">1. Measurement-of-Interoperability Research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A state TMC consuming neighbor feeds has no federally-curated baseline against which to judge what it’s receiving.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Phase 1 methodology + baseline (6mo) → Phase 2 continuous measurement (24mo) → Phase 3 longitudinal trends (36mo).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/ TFHRC, NCHRP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Open methodology, public per-producer measurements.</w:t>
      </w:r>
    </w:p>
    <w:bookmarkEnd w:id="9"/>
    <w:bookmarkStart w:id="10" w:name="X2e08c8497c6097a69c2408c74bcd1686f839ebf"/>
    <w:p>
      <w:pPr>
        <w:pStyle w:val="Heading3"/>
      </w:pPr>
      <w:r>
        <w:t xml:space="preserve">2. Authoritative Cross-Specification Crosswalk Research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Every state reinvents WZDx↔TMDD↔CIFS translation; the translations diverge silently.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Crosswalk authoring (9mo) → reference implementation + pilot (24mo) → standards submission (30mo).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SAE, ITE, AASHTO.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Reference crosswalks + open-source normalization implementation.</w:t>
      </w:r>
    </w:p>
    <w:bookmarkEnd w:id="10"/>
    <w:bookmarkStart w:id="11" w:name="sub-state-and-regional-layer-research"/>
    <w:p>
      <w:pPr>
        <w:pStyle w:val="Heading3"/>
      </w:pPr>
      <w:r>
        <w:t xml:space="preserve">3. Sub-State and Regional Layer Research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Cities, counties, toll authorities, tribal agencies publish feeds that overlap incompatibly with the state’s. The state cannot harmonize these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Inventory (6mo) → conformance/overlap analysis (18mo) → harmonization policy options (30mo).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NCHRP.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Inventory, conformance assessment, policy-lever analysis.</w:t>
      </w:r>
    </w:p>
    <w:bookmarkEnd w:id="11"/>
    <w:bookmarkStart w:id="12" w:name="X70af24bec548e9638505a57b769ae20179aeb2e"/>
    <w:p>
      <w:pPr>
        <w:pStyle w:val="Heading3"/>
      </w:pPr>
      <w:r>
        <w:t xml:space="preserve">4. Non-WZDx Federal-Partner Feed Integration Research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State TMCs use NWS Alerts, CBP Wait Times, NPS Road Events, IPAWS ad hoc with no canonical fusion guidance.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Feed inventory (9mo) → reference architecture (24mo) → state pilot (36mo).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FEMA, NWS, CBP.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Reference architecture and fusion patterns.</w:t>
      </w:r>
    </w:p>
    <w:bookmarkEnd w:id="12"/>
    <w:bookmarkStart w:id="13" w:name="Xf0810c79a417055f6ed48ceceea41517a243108"/>
    <w:p>
      <w:pPr>
        <w:pStyle w:val="Heading3"/>
      </w:pPr>
      <w:r>
        <w:t xml:space="preserve">5. Provenance and Lineage Standards Research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Cross-feed event fusion is not auditable today; no provenance schema exists for which feed contributed which field.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Schema (9mo) → reference implementation (24mo) → integration with WZDx and adjacent specs (36mo).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TRB Cooperative Research Program.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Provenance schema + reference implementation.</w:t>
      </w:r>
    </w:p>
    <w:bookmarkEnd w:id="13"/>
    <w:bookmarkStart w:id="14" w:name="X6acbe79d8837c0cab2f2db2a9820641d3171d90"/>
    <w:p>
      <w:pPr>
        <w:pStyle w:val="Heading3"/>
      </w:pPr>
      <w:r>
        <w:t xml:space="preserve">6. Field-Capture Provenance for Transportation Data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Mobile-app and field-tablet capture of TTC deployments, asset inspections, and as-built records is emerging across practitioner workflows; no standard links a field-captured record back to the source authority, certifying credential, capture device, and capture moment.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Practitioner workflow survey (6mo) → spec authoring (24mo) → reference implementation + pilot (36mo).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TFHRC.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Field-capture provenance specification covering TTC deployments, as-built captures (including AR/LiDAR workflows), and asset inspections.</w:t>
      </w:r>
    </w:p>
    <w:bookmarkEnd w:id="14"/>
    <w:bookmarkEnd w:id="15"/>
    <w:bookmarkStart w:id="19" w:name="X2a3e4861598db1f96d9c63742c10b03379cb621"/>
    <w:p>
      <w:pPr>
        <w:pStyle w:val="Heading2"/>
      </w:pPr>
      <w:r>
        <w:t xml:space="preserve">B. Data Quality, Measurement, and Validation</w:t>
      </w:r>
    </w:p>
    <w:bookmarkStart w:id="16" w:name="X947bbfa296e5ceeddc4b6af7cf35d9c7d91df51"/>
    <w:p>
      <w:pPr>
        <w:pStyle w:val="Heading3"/>
      </w:pPr>
      <w:r>
        <w:t xml:space="preserve">7. Standardized Data Quality Index Methodology Research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Each state and each vendor uses its own</w:t>
      </w:r>
      <w:r>
        <w:t xml:space="preserve"> </w:t>
      </w:r>
      <w:r>
        <w:t xml:space="preserve">“quality”</w:t>
      </w:r>
      <w:r>
        <w:t xml:space="preserve"> </w:t>
      </w:r>
      <w:r>
        <w:t xml:space="preserve">definition; cross-comparison is therefore not possible.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Methodology (9mo) → pilot scoring at scale (24mo) → publication + governance (30mo).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NCHRP.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Open, versioned DQI methodology with reference scores.</w:t>
      </w:r>
    </w:p>
    <w:bookmarkEnd w:id="16"/>
    <w:bookmarkStart w:id="17" w:name="Xcc40d18eca7501cc1ac38cb6b49deeb9c41d762"/>
    <w:p>
      <w:pPr>
        <w:pStyle w:val="Heading3"/>
      </w:pPr>
      <w:r>
        <w:t xml:space="preserve">8. Ground Truth and Predictive Model Validation Research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States deploy predictive analytics with each implementation defining its own</w:t>
      </w:r>
      <w:r>
        <w:t xml:space="preserve"> </w:t>
      </w:r>
      <w:r>
        <w:t xml:space="preserve">“good enough.”</w:t>
      </w:r>
      <w:r>
        <w:t xml:space="preserve"> </w:t>
      </w:r>
      <w:r>
        <w:t xml:space="preserve">No shared validation framework.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Protocol design (9mo) → dataset collection (24mo) → publication (36mo).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RD&amp;T, TFHRC, NCHRP.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Ground-truth protocols + reference validation datasets.</w:t>
      </w:r>
    </w:p>
    <w:bookmarkEnd w:id="17"/>
    <w:bookmarkStart w:id="18" w:name="X64448a57d31039ec90a7e71fbda68e13b47a9dd"/>
    <w:p>
      <w:pPr>
        <w:pStyle w:val="Heading3"/>
      </w:pPr>
      <w:r>
        <w:t xml:space="preserve">9. Coverage Gap and Cross-State Correlation Research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A state planning multi-state strategy has no federally-curated view of where the national event picture is incomplete.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Methodology + initial assessment (12mo) → continuous updating (30mo) → reporting interface (36mo).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Methodology + ongoing public coverage assessment.</w:t>
      </w:r>
    </w:p>
    <w:bookmarkEnd w:id="18"/>
    <w:bookmarkEnd w:id="19"/>
    <w:bookmarkStart w:id="25" w:name="c.-operations-workflows-and-coordination"/>
    <w:p>
      <w:pPr>
        <w:pStyle w:val="Heading2"/>
      </w:pPr>
      <w:r>
        <w:t xml:space="preserve">C. Operations Workflows and Coordination</w:t>
      </w:r>
    </w:p>
    <w:bookmarkStart w:id="20" w:name="Xd23206c0b66d72a150b502111ce46be885427be"/>
    <w:p>
      <w:pPr>
        <w:pStyle w:val="Heading3"/>
      </w:pPr>
      <w:r>
        <w:t xml:space="preserve">10. Multi-State Closure &amp; Diversion Coordination Research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Multi-state freight-corridor closures coordinate by phone and email between TMCs. No protocol or data-exchange standard exists for operational tempo.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Process/gap analysis (9mo) → protocol design (24mo) → multi-corridor pilot (36mo).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AASHTO.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Reference coordination protocol + data-exchange spec.</w:t>
      </w:r>
    </w:p>
    <w:bookmarkEnd w:id="20"/>
    <w:bookmarkStart w:id="21" w:name="X1c600d23b673df8f19283952734c568e07f94c4"/>
    <w:p>
      <w:pPr>
        <w:pStyle w:val="Heading3"/>
      </w:pPr>
      <w:r>
        <w:t xml:space="preserve">11. DMS Messaging Conformance and Effectiveness Research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Same incident, signed differently in each state the driver passes through. Effectiveness cost is uncharacterized.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Cross-state audit (9mo) → effectiveness study (24mo) → pattern library (36mo).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state DOTs.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Empirical effectiveness findings + recommended cross-state pattern library.</w:t>
      </w:r>
    </w:p>
    <w:bookmarkEnd w:id="21"/>
    <w:bookmarkStart w:id="22" w:name="X92d8cd5a7f5de4d3206bc81ac14f0f3bdf7568d"/>
    <w:p>
      <w:pPr>
        <w:pStyle w:val="Heading3"/>
      </w:pPr>
      <w:r>
        <w:t xml:space="preserve">12. Truck-Parking Sensor Data Quality Research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MAASTO shows federal coordination works at the protocol level; sensor data quality is the limiting factor (Illinois sites self-flagging as untrusted).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Failure-mode characterization (9mo) → calibration methodology (24mo) → reference deployment guidance (36mo).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TFHRC sensors lab.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Sensor reliability research + calibration methodology.</w:t>
      </w:r>
    </w:p>
    <w:bookmarkEnd w:id="22"/>
    <w:bookmarkStart w:id="23" w:name="Xabf703b51252aaeb0db2e044788bf1b1aa7bcdb"/>
    <w:p>
      <w:pPr>
        <w:pStyle w:val="Heading3"/>
      </w:pPr>
      <w:r>
        <w:t xml:space="preserve">13. Work Zone Reality vs. Reported Data Reconciliation Research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Statewide WZDx feeds publish what permit/planning data say; actual TTC deployed in the field often differs. Field-app deployment data captured by certified crews is an under-utilized authoritative source for closing the loop.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Practitioner workflow survey + gap analysis (9mo) → reconciliation methodology + reference exchange spec (24mo) → state-DOT pilot (36mo).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AASHTO Work Zone Subcommittee and ATSSA.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Reconciliation methodology + reference exchange pattern for field-deployment data ↔ WZDx feeds.</w:t>
      </w:r>
    </w:p>
    <w:bookmarkEnd w:id="23"/>
    <w:bookmarkStart w:id="24" w:name="Xec0b4758795b5200697294f5430c1f841c6c21a"/>
    <w:p>
      <w:pPr>
        <w:pStyle w:val="Heading3"/>
      </w:pPr>
      <w:r>
        <w:t xml:space="preserve">14. Certified Traffic Control Supervisor Credential Interoperability Research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TCS certifications are state-specific. Multi-state contractors maintain duplicates; state operations leadership has no federally-recognized way to verify a TCS credential issued elsewhere.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Program inventory (6mo) → data model + reciprocity framework (24mo) → multi-state pilot (36mo).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AASHTO and ATSSA.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Cross-recognition data model + reciprocity pilot.</w:t>
      </w:r>
    </w:p>
    <w:bookmarkEnd w:id="24"/>
    <w:bookmarkEnd w:id="25"/>
    <w:bookmarkStart w:id="29" w:name="X07e087bb51ae179f6b95af6295232a687ef5729"/>
    <w:p>
      <w:pPr>
        <w:pStyle w:val="Heading2"/>
      </w:pPr>
      <w:r>
        <w:t xml:space="preserve">D. Compliance, Regulatory, and Permit Interoperability</w:t>
      </w:r>
    </w:p>
    <w:bookmarkStart w:id="26" w:name="Xa8ccdee9eded3ba4b45bcac4922d85ebe232b59"/>
    <w:p>
      <w:pPr>
        <w:pStyle w:val="Heading3"/>
      </w:pPr>
      <w:r>
        <w:t xml:space="preserve">15. IPAWS Road-Impact Authoring Conformance Research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State DOT on-ramp from operational events to CAP-compliant authoring is unclear and inconsistent.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State survey (9mo) → methodology + assessment (24mo) → integration patterns (30mo).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FEMA IPAWS Program Office.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Conformance methodology + per-state assessment.</w:t>
      </w:r>
    </w:p>
    <w:bookmarkEnd w:id="26"/>
    <w:bookmarkStart w:id="27" w:name="X4e836de8044302175133785bdbc881f9b2eaa20"/>
    <w:p>
      <w:pPr>
        <w:pStyle w:val="Heading3"/>
      </w:pPr>
      <w:r>
        <w:t xml:space="preserve">16. OS/OW Permit-Rule Interoperability Research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State permit-rule digitization is progressing individually; cross-state corridor consistency in structure and vocabulary remains poor. Carriers and routing engines absorb the cost.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Encoding survey (9mo) → data model (24mo) → NASCO corridor pilot (36mo).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NASCO and AASHTO.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Permit-rule data model + exchange specification.</w:t>
      </w:r>
    </w:p>
    <w:bookmarkEnd w:id="27"/>
    <w:bookmarkStart w:id="28" w:name="X08d2231cea4a77756083db6fc6714beb73575f5"/>
    <w:p>
      <w:pPr>
        <w:pStyle w:val="Heading3"/>
      </w:pPr>
      <w:r>
        <w:t xml:space="preserve">17. Bridge-Clearance and Restriction Data Interoperability Research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Bridge clearance data is heterogeneous across states (units, datum, posted vs. measured); over-height routing fails at state lines.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Inventory survey (9mo) → data model (24mo) → pilot exchange (36mo).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AASHTO Bridges Committee.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Standard exchange format.</w:t>
      </w:r>
    </w:p>
    <w:bookmarkEnd w:id="28"/>
    <w:bookmarkEnd w:id="29"/>
    <w:bookmarkStart w:id="33" w:name="e.-decision-support-and-asset-management"/>
    <w:p>
      <w:pPr>
        <w:pStyle w:val="Heading2"/>
      </w:pPr>
      <w:r>
        <w:t xml:space="preserve">E. Decision Support and Asset Management</w:t>
      </w:r>
    </w:p>
    <w:bookmarkStart w:id="30" w:name="Xa4750fb4e7aacb92b54dc304e53583f6569c388"/>
    <w:p>
      <w:pPr>
        <w:pStyle w:val="Heading3"/>
      </w:pPr>
      <w:r>
        <w:t xml:space="preserve">18. Asset Health &amp; ITS Equipment Status Interoperability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Cameras, DMS, RWIS, V2X RSU health data exists per-state with no exchange standard. Cross-state coordination and federal asset-management RD&amp;T both suffer.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Requirements (9mo) → schema + reference implementation (24mo) → three-state pilot (36mo).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TFHRC operations lab.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Equipment status schema + reference implementation.</w:t>
      </w:r>
    </w:p>
    <w:bookmarkEnd w:id="30"/>
    <w:bookmarkStart w:id="31" w:name="transportation-ifcbim-profile-research"/>
    <w:p>
      <w:pPr>
        <w:pStyle w:val="Heading3"/>
      </w:pPr>
      <w:r>
        <w:t xml:space="preserve">19. Transportation IFC/BIM Profile Research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States are being asked to deliver digitally. IFC was designed for vertical construction; transportation use is inconsistent. Depends on as-built data — utility lines, drainage, ITS conduit, surface assets — flowing in without translation loss.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Requirements + profile draft (12mo) → pilot exchange (24mo) → standards submission (36mo).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TFHRC infrastructure RD&amp;T.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Transportation IFC profile + reference exchange tooling, with attention to AR/LiDAR-assisted as-built capture workflows.</w:t>
      </w:r>
    </w:p>
    <w:bookmarkEnd w:id="31"/>
    <w:bookmarkStart w:id="32" w:name="X3fe3b08b2a6d4c12ffe3e6e5d5c0984a2df30c4"/>
    <w:p>
      <w:pPr>
        <w:pStyle w:val="Heading3"/>
      </w:pPr>
      <w:r>
        <w:t xml:space="preserve">20. Subsurface Utility Engineering and ROW Utility Data Interoperability Research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ROW utility data is captured per-project, per-utility, per-state, with no unified schema. SUE Quality Level data flows are ad hoc; cross-project and cross-jurisdictional reuse is impossible at scale. AR/LiDAR-assisted field capture is emerging without exchange standards to support 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Practitioner-tool + state-program inventory (9mo) → data model + exchange spec (24mo) → multi-utility multi-state corridor pilot (36mo).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AASHTO SUE Committee and the Common Ground Alliance.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Reference data model spanning SUE Quality Levels A–D, as-built capture methods, and downstream BIM/IFC integration.</w:t>
      </w:r>
    </w:p>
    <w:bookmarkEnd w:id="32"/>
    <w:bookmarkEnd w:id="33"/>
    <w:bookmarkStart w:id="36" w:name="Xc2a641a036e347f4ba75126a2ccc14e23a9e6ed"/>
    <w:p>
      <w:pPr>
        <w:pStyle w:val="Heading2"/>
      </w:pPr>
      <w:r>
        <w:t xml:space="preserve">F. Vendor Transparency and Practitioner Costs</w:t>
      </w:r>
    </w:p>
    <w:bookmarkStart w:id="34" w:name="Xe872923d0675b434163c7cc921dc16d6da42420"/>
    <w:p>
      <w:pPr>
        <w:pStyle w:val="Heading3"/>
      </w:pPr>
      <w:r>
        <w:t xml:space="preserve">21. Independent Comparative Evaluation Methodology for Commercial Data Products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Each procurement cycle replicates substantially the same RFP and vendor-comparison work. No federally-curated methodology exists; cost to states is direct and recurring.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Methodology (9mo) → empirical evaluation cycle (24mo) → publication (30mo).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NCHRP joint topic.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Open methodology + empirical findings.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procurement recommendations or product endorsements.</w:t>
      </w:r>
    </w:p>
    <w:bookmarkEnd w:id="34"/>
    <w:bookmarkStart w:id="35" w:name="X7add52dbdc98014dbff535d3ac3c89d490d3d8f"/>
    <w:p>
      <w:pPr>
        <w:pStyle w:val="Heading3"/>
      </w:pPr>
      <w:r>
        <w:t xml:space="preserve">22. Downstream-Cost Research on TFHRC External-Engagement Constraints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State lens:</w:t>
      </w:r>
      <w:r>
        <w:t xml:space="preserve"> </w:t>
      </w:r>
      <w:r>
        <w:t xml:space="preserve">As state-side consumers of federal research, the constraints flagged in Letter Report Recommendation 2 (HSIS dark-out, reduced AMRP detail, reduced conference engagement) are not abstract; they each have measurable downstream cost.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Horizon:</w:t>
      </w:r>
      <w:r>
        <w:t xml:space="preserve"> </w:t>
      </w:r>
      <w:r>
        <w:t xml:space="preserve">Practitioner survey (6mo) → empirical assessment (18mo) → synthesis report (24mo).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TRB Cooperative Research Program.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Empirical characterization to inform internal FHWA process change.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5bc342bf41c36f84ccf0a53c55ff8e31113d33b"/>
    <w:p>
      <w:pPr>
        <w:pStyle w:val="Heading2"/>
      </w:pPr>
      <w:r>
        <w:t xml:space="preserve">Voting Strategy Notes (For Matt — Not For Distribution)</w:t>
      </w:r>
    </w:p>
    <w:p>
      <w:pPr>
        <w:pStyle w:val="FirstParagraph"/>
      </w:pPr>
      <w:r>
        <w:t xml:space="preserve">If the Committee proceeds to vote-by-item rather than collective deliberation, prioritize defense of these as the highest-leverage / lowest-cost: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(measurement of interoperability) — operationalizes Rec. 5 directly, hardest to argue against on principle.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(crosswalks) — small research investment, large national leverage, no political risk.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#5</w:t>
      </w:r>
      <w:r>
        <w:t xml:space="preserve"> </w:t>
      </w:r>
      <w:r>
        <w:t xml:space="preserve">(provenance) — short timeline, small scope, enables auditability.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(field-capture provenance) — naturally extends #5 and pulls in a research area that none of the other federal programs are currently funding.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#10</w:t>
      </w:r>
      <w:r>
        <w:t xml:space="preserve"> </w:t>
      </w:r>
      <w:r>
        <w:t xml:space="preserve">(multi-state closure/diversion) — most politically alignable across the state DOT seats on the committee.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#13</w:t>
      </w:r>
      <w:r>
        <w:t xml:space="preserve"> </w:t>
      </w:r>
      <w:r>
        <w:t xml:space="preserve">(work zone reality vs. reported) — addresses a known but unspoken pain point for any state DOT operations head; pairs well with #6 and #10.</w:t>
      </w:r>
    </w:p>
    <w:p>
      <w:pPr>
        <w:pStyle w:val="BodyText"/>
      </w:pPr>
      <w:r>
        <w:t xml:space="preserve">Politically delicate (be prepared to negotiate or trade):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#21</w:t>
      </w:r>
      <w:r>
        <w:t xml:space="preserve"> </w:t>
      </w:r>
      <w:r>
        <w:t xml:space="preserve">(vendor evaluation) — commercial members (IIHS, ATRI, AAA Foundation) may resist; offer trade for #22 if needed.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#22</w:t>
      </w:r>
      <w:r>
        <w:t xml:space="preserve"> </w:t>
      </w:r>
      <w:r>
        <w:t xml:space="preserve">(TFHRC engagement downstream cost) — asks TRB to study FHWA’s own constraints; will need careful framing.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#8 / #9</w:t>
      </w:r>
      <w:r>
        <w:t xml:space="preserve"> </w:t>
      </w:r>
      <w:r>
        <w:t xml:space="preserve">(ground-truth, coverage gap) — may overlap with existing NPMRDS-adjacent work; be ready to differentiate.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#14</w:t>
      </w:r>
      <w:r>
        <w:t xml:space="preserve"> </w:t>
      </w:r>
      <w:r>
        <w:t xml:space="preserve">(TCS credential interoperability) — touches state licensure prerogatives; soften framing as cross-recognition research, not federal mandate.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#20</w:t>
      </w:r>
      <w:r>
        <w:t xml:space="preserve"> </w:t>
      </w:r>
      <w:r>
        <w:t xml:space="preserve">(SUE/ROW utility data) — pulls in CGA and AASHTO SUE constituencies who may have prior preferences; offer to coordinate, not lead.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2026-05-12T02:39:24Z</dcterms:created>
  <dcterms:modified xsi:type="dcterms:W3CDTF">2026-05-12T02:39:24Z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