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Xc8d9809bf206b424e6a503dcec47e31830ffdd2"/>
    <w:p>
      <w:pPr>
        <w:pStyle w:val="Heading1"/>
      </w:pPr>
      <w:r>
        <w:t xml:space="preserve">Federal Research Needs — Digital Infrastructure Interoperability</w:t>
      </w:r>
    </w:p>
    <w:p>
      <w:pPr>
        <w:pStyle w:val="FirstParagraph"/>
      </w:pPr>
      <w:r>
        <w:rPr>
          <w:b/>
          <w:bCs/>
        </w:rPr>
        <w:t xml:space="preserve">Talking Points · RTCC Meeting · May 2026</w:t>
      </w:r>
      <w:r>
        <w:t xml:space="preserve"> </w:t>
      </w:r>
      <w:r>
        <w:rPr>
          <w:b/>
          <w:bCs/>
        </w:rPr>
        <w:t xml:space="preserve">Matt Miller</w:t>
      </w:r>
    </w:p>
    <w:p>
      <w:pPr>
        <w:pStyle w:val="BodyText"/>
      </w:pPr>
      <w:r>
        <w:rPr>
          <w:b/>
          <w:bCs/>
        </w:rPr>
        <w:t xml:space="preserve">Framing:</w:t>
      </w:r>
      <w:r>
        <w:t xml:space="preserve"> </w:t>
      </w:r>
      <w:r>
        <w:t xml:space="preserve">every item below is a recommendation for</w:t>
      </w:r>
      <w:r>
        <w:t xml:space="preserve"> </w:t>
      </w:r>
      <w:r>
        <w:rPr>
          <w:b/>
          <w:bCs/>
        </w:rPr>
        <w:t xml:space="preserve">federal research investment</w:t>
      </w:r>
      <w:r>
        <w:t xml:space="preserve"> </w:t>
      </w:r>
      <w:r>
        <w:t xml:space="preserve">to operationalize the September 2025 RTCC Letter Report. Nothing here proposes any product, system, or service for adoption.</w:t>
      </w:r>
    </w:p>
    <w:p>
      <w:pPr>
        <w:pStyle w:val="BodyText"/>
      </w:pPr>
      <w:r>
        <w:t xml:space="preserve">Each research need is anchored in an empirical observation from independent integration work covering ~10 federal and state public feed families across 39+ producers, plus the surrounding operations, quality, and decision-support surfaces (see</w:t>
      </w:r>
      <w:r>
        <w:t xml:space="preserve"> </w:t>
      </w:r>
      <w:r>
        <w:rPr>
          <w:i/>
          <w:iCs/>
        </w:rPr>
        <w:t xml:space="preserve">Sandbox Capability Inventory</w:t>
      </w:r>
      <w:r>
        <w:t xml:space="preserve"> </w:t>
      </w:r>
      <w:r>
        <w:t xml:space="preserve">for full scope).</w:t>
      </w:r>
    </w:p>
    <w:p>
      <w:r>
        <w:pict>
          <v:rect style="width:0;height:1.5pt" o:hralign="center" o:hrstd="t" o:hr="t"/>
        </w:pict>
      </w:r>
    </w:p>
    <w:bookmarkStart w:id="14" w:name="Xb45621dd6324fbdeff9c7738152b6057a39b610"/>
    <w:p>
      <w:pPr>
        <w:pStyle w:val="Heading2"/>
      </w:pPr>
      <w:r>
        <w:t xml:space="preserve">A. Feeds, Standards, and Interoperability Measurement</w:t>
      </w:r>
    </w:p>
    <w:bookmarkStart w:id="9" w:name="measurement-of-interoperability-research"/>
    <w:p>
      <w:pPr>
        <w:pStyle w:val="Heading3"/>
      </w:pPr>
      <w:r>
        <w:t xml:space="preserve">1. Measurement-of-Interoperability Research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Need:</w:t>
      </w:r>
      <w:r>
        <w:t xml:space="preserve"> </w:t>
      </w:r>
      <w:r>
        <w:t xml:space="preserve">Sustained, public federal research that empirically measures conformance, quality, and interoperability of public digital infrastructure feeds.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Why now:</w:t>
      </w:r>
      <w:r>
        <w:t xml:space="preserve"> </w:t>
      </w:r>
      <w:r>
        <w:t xml:space="preserve">~21 states publish no public WZDx feed at all. Among those that do, the variance in conformance and quality is wide and silent. No federal research program measures this publicly.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Owner:</w:t>
      </w:r>
      <w:r>
        <w:t xml:space="preserve"> </w:t>
      </w:r>
      <w:r>
        <w:t xml:space="preserve">FHWA RD&amp;T / TFHRC, NCHRP support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Output:</w:t>
      </w:r>
      <w:r>
        <w:t xml:space="preserve"> </w:t>
      </w:r>
      <w:r>
        <w:t xml:space="preserve">Open methodology, public per-producer measurements, refreshed continuously</w:t>
      </w:r>
    </w:p>
    <w:bookmarkEnd w:id="9"/>
    <w:bookmarkStart w:id="10" w:name="X2e08c8497c6097a69c2408c74bcd1686f839ebf"/>
    <w:p>
      <w:pPr>
        <w:pStyle w:val="Heading3"/>
      </w:pPr>
      <w:r>
        <w:t xml:space="preserve">2. Authoritative Cross-Specification Crosswalk Research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Need:</w:t>
      </w:r>
      <w:r>
        <w:t xml:space="preserve"> </w:t>
      </w:r>
      <w:r>
        <w:t xml:space="preserve">Reference crosswalks between WZDx ↔ TMDD ↔ CIFS ↔ CWZ 1.0 ↔ SAE J2735 ↔ Common Alerting Protocol, plus an open-source reference normalization implementation.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Why now:</w:t>
      </w:r>
      <w:r>
        <w:t xml:space="preserve"> </w:t>
      </w:r>
      <w:r>
        <w:t xml:space="preserve">Translation among specs is the single largest integration cost. Every multi-state consumer reinvents the mappings independently and they diverge silently.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Owner:</w:t>
      </w:r>
      <w:r>
        <w:t xml:space="preserve"> </w:t>
      </w:r>
      <w:r>
        <w:t xml:space="preserve">FHWA RD&amp;T with relevant standards bodies (SAE, ITE, AASHTO)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Output:</w:t>
      </w:r>
      <w:r>
        <w:t xml:space="preserve"> </w:t>
      </w:r>
      <w:r>
        <w:t xml:space="preserve">Spec + reference implementation as research output. Not a product.</w:t>
      </w:r>
    </w:p>
    <w:bookmarkEnd w:id="10"/>
    <w:bookmarkStart w:id="11" w:name="X7fc5256acb50124782e1b750e843aa5664a3fcc"/>
    <w:p>
      <w:pPr>
        <w:pStyle w:val="Heading3"/>
      </w:pPr>
      <w:r>
        <w:t xml:space="preserve">3. Sub-State and Regional Digital Infrastructure Layer Research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Need:</w:t>
      </w:r>
      <w:r>
        <w:t xml:space="preserve"> </w:t>
      </w:r>
      <w:r>
        <w:t xml:space="preserve">Characterize the sub-state and regional public-feed layer — prevalence, conformance, overlap with state-level feeds, and harmonization levers.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Why now:</w:t>
      </w:r>
      <w:r>
        <w:t xml:space="preserve"> </w:t>
      </w:r>
      <w:r>
        <w:t xml:space="preserve">Sub-state producers (City of Austin, St. Charles County, Maricopa County, Quebec City) fill real coverage gaps; they also overlap incompatibly with state feeds in some jurisdictions (PennDOT vs. PA Turnpike; IDOT vs. Illinois Tollway vs. City of Chicago). No academic or state program is filling this research gap.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Owner:</w:t>
      </w:r>
      <w:r>
        <w:t xml:space="preserve"> </w:t>
      </w:r>
      <w:r>
        <w:t xml:space="preserve">FHWA RD&amp;T + NCHRP joint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Output:</w:t>
      </w:r>
      <w:r>
        <w:t xml:space="preserve"> </w:t>
      </w:r>
      <w:r>
        <w:t xml:space="preserve">Inventory, conformance assessment, policy-lever analysis</w:t>
      </w:r>
    </w:p>
    <w:bookmarkEnd w:id="11"/>
    <w:bookmarkStart w:id="12" w:name="X3b0ed9ec0d176056bb03b0179d262c8530aa16a"/>
    <w:p>
      <w:pPr>
        <w:pStyle w:val="Heading3"/>
      </w:pPr>
      <w:r>
        <w:t xml:space="preserve">4. Non-WZDx Feed Integration Patterns Research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Need:</w:t>
      </w:r>
      <w:r>
        <w:t xml:space="preserve"> </w:t>
      </w:r>
      <w:r>
        <w:t xml:space="preserve">Research into how non-WZDx federal and federal-partner feeds (NWS Alerts, CBP Border Wait Times, NPS Road Events, IPAWS) should integrate with state work-zone and incident data in operator-facing systems.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Why now:</w:t>
      </w:r>
      <w:r>
        <w:t xml:space="preserve"> </w:t>
      </w:r>
      <w:r>
        <w:t xml:space="preserve">These feeds exist independently with no canonical guidance on fusion. Operators correlating weather, border delays, and work zones currently do this ad hoc.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Owner:</w:t>
      </w:r>
      <w:r>
        <w:t xml:space="preserve"> </w:t>
      </w:r>
      <w:r>
        <w:t xml:space="preserve">FHWA RD&amp;T with FEMA, NWS, CBP coordination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Output:</w:t>
      </w:r>
      <w:r>
        <w:t xml:space="preserve"> </w:t>
      </w:r>
      <w:r>
        <w:t xml:space="preserve">Reference architecture and fusion patterns</w:t>
      </w:r>
    </w:p>
    <w:bookmarkEnd w:id="12"/>
    <w:bookmarkStart w:id="13" w:name="Xf0810c79a417055f6ed48ceceea41517a243108"/>
    <w:p>
      <w:pPr>
        <w:pStyle w:val="Heading3"/>
      </w:pPr>
      <w:r>
        <w:t xml:space="preserve">5. Provenance and Lineage Standards Research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Need:</w:t>
      </w:r>
      <w:r>
        <w:t xml:space="preserve"> </w:t>
      </w:r>
      <w:r>
        <w:t xml:space="preserve">Research into per-field provenance standards for multi-source event records — how downstream consumers track which feed contributed which attribute when feeds overlap.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Why now:</w:t>
      </w:r>
      <w:r>
        <w:t xml:space="preserve"> </w:t>
      </w:r>
      <w:r>
        <w:t xml:space="preserve">Cross-state and cross-vendor data fusion is not auditable without provenance. Today every integrator implements ad hoc lineage if any at all.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Owner:</w:t>
      </w:r>
      <w:r>
        <w:t xml:space="preserve"> </w:t>
      </w:r>
      <w:r>
        <w:t xml:space="preserve">FHWA RD&amp;T + TRB Cooperative Research Program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Output:</w:t>
      </w:r>
      <w:r>
        <w:t xml:space="preserve"> </w:t>
      </w:r>
      <w:r>
        <w:t xml:space="preserve">Provenance schema specification, reference implementation</w:t>
      </w:r>
    </w:p>
    <w:bookmarkEnd w:id="13"/>
    <w:bookmarkEnd w:id="14"/>
    <w:bookmarkStart w:id="18" w:name="X2a3e4861598db1f96d9c63742c10b03379cb621"/>
    <w:p>
      <w:pPr>
        <w:pStyle w:val="Heading2"/>
      </w:pPr>
      <w:r>
        <w:t xml:space="preserve">B. Data Quality, Measurement, and Validation</w:t>
      </w:r>
    </w:p>
    <w:bookmarkStart w:id="15" w:name="X947bbfa296e5ceeddc4b6af7cf35d9c7d91df51"/>
    <w:p>
      <w:pPr>
        <w:pStyle w:val="Heading3"/>
      </w:pPr>
      <w:r>
        <w:t xml:space="preserve">6. Standardized Data Quality Index Methodology Research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Need:</w:t>
      </w:r>
      <w:r>
        <w:t xml:space="preserve"> </w:t>
      </w:r>
      <w:r>
        <w:t xml:space="preserve">Federally-funded methodology research producing a standard, open Data Quality Index applicable across feed types (work zones, incidents, parking, weather, V2X).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Why now:</w:t>
      </w:r>
      <w:r>
        <w:t xml:space="preserve"> </w:t>
      </w:r>
      <w:r>
        <w:t xml:space="preserve">Every quality-grading initiative currently invents its own dimensions, weights, and scales. Without a methodological baseline,</w:t>
      </w:r>
      <w:r>
        <w:t xml:space="preserve"> </w:t>
      </w:r>
      <w:r>
        <w:t xml:space="preserve">“quality”</w:t>
      </w:r>
      <w:r>
        <w:t xml:space="preserve"> </w:t>
      </w:r>
      <w:r>
        <w:t xml:space="preserve">claims aren’t comparable across feeds or producers.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Owner:</w:t>
      </w:r>
      <w:r>
        <w:t xml:space="preserve"> </w:t>
      </w:r>
      <w:r>
        <w:t xml:space="preserve">FHWA RD&amp;T, with NCHRP and the practitioner community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Output:</w:t>
      </w:r>
      <w:r>
        <w:t xml:space="preserve"> </w:t>
      </w:r>
      <w:r>
        <w:t xml:space="preserve">Open methodology with versioning; published reference scores</w:t>
      </w:r>
    </w:p>
    <w:bookmarkEnd w:id="15"/>
    <w:bookmarkStart w:id="16" w:name="Xcc40d18eca7501cc1ac38cb6b49deeb9c41d762"/>
    <w:p>
      <w:pPr>
        <w:pStyle w:val="Heading3"/>
      </w:pPr>
      <w:r>
        <w:t xml:space="preserve">7. Ground Truth and Predictive Model Validation Research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Need:</w:t>
      </w:r>
      <w:r>
        <w:t xml:space="preserve"> </w:t>
      </w:r>
      <w:r>
        <w:t xml:space="preserve">Systematic research into ground-truth methodologies for transportation predictive models — incidents, parking occupancy, corridor delay, equipment health.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Why now:</w:t>
      </w:r>
      <w:r>
        <w:t xml:space="preserve"> </w:t>
      </w:r>
      <w:r>
        <w:t xml:space="preserve">Predictive analytics in transportation operations are deployed broadly without standard validation protocols. Each implementation defines its own</w:t>
      </w:r>
      <w:r>
        <w:t xml:space="preserve"> </w:t>
      </w:r>
      <w:r>
        <w:t xml:space="preserve">“good enough.”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Owner:</w:t>
      </w:r>
      <w:r>
        <w:t xml:space="preserve"> </w:t>
      </w:r>
      <w:r>
        <w:t xml:space="preserve">FHWA RD&amp;T, TFHRC, NCHRP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Output:</w:t>
      </w:r>
      <w:r>
        <w:t xml:space="preserve"> </w:t>
      </w:r>
      <w:r>
        <w:t xml:space="preserve">Ground-truth protocols and validation reference datasets</w:t>
      </w:r>
    </w:p>
    <w:bookmarkEnd w:id="16"/>
    <w:bookmarkStart w:id="17" w:name="X64448a57d31039ec90a7e71fbda68e13b47a9dd"/>
    <w:p>
      <w:pPr>
        <w:pStyle w:val="Heading3"/>
      </w:pPr>
      <w:r>
        <w:t xml:space="preserve">8. Coverage Gap and Cross-State Correlation Research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Need:</w:t>
      </w:r>
      <w:r>
        <w:t xml:space="preserve"> </w:t>
      </w:r>
      <w:r>
        <w:t xml:space="preserve">Research into how to systematically identify and quantify national coverage gaps in transportation event data, and how cross-state event correlation can be reliably performed.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Why now:</w:t>
      </w:r>
      <w:r>
        <w:t xml:space="preserve"> </w:t>
      </w:r>
      <w:r>
        <w:t xml:space="preserve">Today coverage gaps and cross-state correlations are surfaced only by integrators with full pipelines built. There’s no federally-curated, methodologically-transparent view of where the national event picture is incomplete.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Owner:</w:t>
      </w:r>
      <w:r>
        <w:t xml:space="preserve"> </w:t>
      </w:r>
      <w:r>
        <w:t xml:space="preserve">FHWA RD&amp;T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Output:</w:t>
      </w:r>
      <w:r>
        <w:t xml:space="preserve"> </w:t>
      </w:r>
      <w:r>
        <w:t xml:space="preserve">Methodology + ongoing public coverage assessment</w:t>
      </w:r>
    </w:p>
    <w:bookmarkEnd w:id="17"/>
    <w:bookmarkEnd w:id="18"/>
    <w:bookmarkStart w:id="22" w:name="c.-operations-workflows-and-coordination"/>
    <w:p>
      <w:pPr>
        <w:pStyle w:val="Heading2"/>
      </w:pPr>
      <w:r>
        <w:t xml:space="preserve">C. Operations Workflows and Coordination</w:t>
      </w:r>
    </w:p>
    <w:bookmarkStart w:id="19" w:name="X2eb8b563ea68ece86de4f83cc2b155ca6615666"/>
    <w:p>
      <w:pPr>
        <w:pStyle w:val="Heading3"/>
      </w:pPr>
      <w:r>
        <w:t xml:space="preserve">9. Multi-State Closure Approval and Diversion Coordination Research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Need:</w:t>
      </w:r>
      <w:r>
        <w:t xml:space="preserve"> </w:t>
      </w:r>
      <w:r>
        <w:t xml:space="preserve">Research into federally-defined coordination protocols for multi-state planned closures and diversion routes.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Why now:</w:t>
      </w:r>
      <w:r>
        <w:t xml:space="preserve"> </w:t>
      </w:r>
      <w:r>
        <w:t xml:space="preserve">Multi-state closures and diversions today coordinate ad hoc, by phone or email between state TMCs. No federal protocol or data-exchange pattern exists despite the demonstrably national nature of freight corridor closures.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Owner:</w:t>
      </w:r>
      <w:r>
        <w:t xml:space="preserve"> </w:t>
      </w:r>
      <w:r>
        <w:t xml:space="preserve">FHWA RD&amp;T with AASHTO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Output:</w:t>
      </w:r>
      <w:r>
        <w:t xml:space="preserve"> </w:t>
      </w:r>
      <w:r>
        <w:t xml:space="preserve">Reference coordination protocol and supporting data-exchange spec</w:t>
      </w:r>
    </w:p>
    <w:bookmarkEnd w:id="19"/>
    <w:bookmarkStart w:id="20" w:name="X1c600d23b673df8f19283952734c568e07f94c4"/>
    <w:p>
      <w:pPr>
        <w:pStyle w:val="Heading3"/>
      </w:pPr>
      <w:r>
        <w:t xml:space="preserve">10. DMS Messaging Conformance and Effectiveness Research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Need:</w:t>
      </w:r>
      <w:r>
        <w:t xml:space="preserve"> </w:t>
      </w:r>
      <w:r>
        <w:t xml:space="preserve">Research into dynamic message sign content patterns — what message structures actually change driver behavior, what cross-state variance in messaging looks like for the same incident type, and how DMS authoring tools should be governed.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 now:</w:t>
      </w:r>
      <w:r>
        <w:t xml:space="preserve"> </w:t>
      </w:r>
      <w:r>
        <w:t xml:space="preserve">DMS messaging is one of the most direct operator levers; cross-state inconsistency is well known anecdotally but not systematically characterized.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Owner:</w:t>
      </w:r>
      <w:r>
        <w:t xml:space="preserve"> </w:t>
      </w:r>
      <w:r>
        <w:t xml:space="preserve">FHWA RD&amp;T + state DOT participation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Output:</w:t>
      </w:r>
      <w:r>
        <w:t xml:space="preserve"> </w:t>
      </w:r>
      <w:r>
        <w:t xml:space="preserve">Empirical effectiveness findings, recommended message-pattern library</w:t>
      </w:r>
    </w:p>
    <w:bookmarkEnd w:id="20"/>
    <w:bookmarkStart w:id="21" w:name="X92d8cd5a7f5de4d3206bc81ac14f0f3bdf7568d"/>
    <w:p>
      <w:pPr>
        <w:pStyle w:val="Heading3"/>
      </w:pPr>
      <w:r>
        <w:t xml:space="preserve">11. Truck-Parking Sensor Data Quality Research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Need:</w:t>
      </w:r>
      <w:r>
        <w:t xml:space="preserve"> </w:t>
      </w:r>
      <w:r>
        <w:t xml:space="preserve">Sensor-quality research for the MAASTO TPIMS coalition and parallel state systems.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Why now:</w:t>
      </w:r>
      <w:r>
        <w:t xml:space="preserve"> </w:t>
      </w:r>
      <w:r>
        <w:t xml:space="preserve">Of three keyless public MAASTO feeds, a substantial portion of Illinois sites currently flag their own sensor data as untrusted. Protocol-level coordination (MAASTO) is mature; the limiting factor on impact is sensor-level data quality, which is a research-program question.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Owner:</w:t>
      </w:r>
      <w:r>
        <w:t xml:space="preserve"> </w:t>
      </w:r>
      <w:r>
        <w:t xml:space="preserve">FHWA RD&amp;T + TFHRC sensors lab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Output:</w:t>
      </w:r>
      <w:r>
        <w:t xml:space="preserve"> </w:t>
      </w:r>
      <w:r>
        <w:t xml:space="preserve">Sensor reliability research, calibration methodology</w:t>
      </w:r>
    </w:p>
    <w:bookmarkEnd w:id="21"/>
    <w:bookmarkEnd w:id="22"/>
    <w:bookmarkStart w:id="26" w:name="X07e087bb51ae179f6b95af6295232a687ef5729"/>
    <w:p>
      <w:pPr>
        <w:pStyle w:val="Heading2"/>
      </w:pPr>
      <w:r>
        <w:t xml:space="preserve">D. Compliance, Regulatory, and Permit Interoperability</w:t>
      </w:r>
    </w:p>
    <w:bookmarkStart w:id="23" w:name="Xa8ccdee9eded3ba4b45bcac4922d85ebe232b59"/>
    <w:p>
      <w:pPr>
        <w:pStyle w:val="Heading3"/>
      </w:pPr>
      <w:r>
        <w:t xml:space="preserve">12. IPAWS Road-Impact Authoring Conformance Research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Need:</w:t>
      </w:r>
      <w:r>
        <w:t xml:space="preserve"> </w:t>
      </w:r>
      <w:r>
        <w:t xml:space="preserve">Research into how road-impacting CAP alert authoring in IPAWS maps to state TMC operator workflows in practice, and how IPAWS conformance varies state to state.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now:</w:t>
      </w:r>
      <w:r>
        <w:t xml:space="preserve"> </w:t>
      </w:r>
      <w:r>
        <w:t xml:space="preserve">IPAWS is a federal capability state DOTs use unevenly. There is no federally-funded research characterizing the variance or the operator-side friction.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Owner:</w:t>
      </w:r>
      <w:r>
        <w:t xml:space="preserve"> </w:t>
      </w:r>
      <w:r>
        <w:t xml:space="preserve">FHWA RD&amp;T with FEMA IPAWS Program Office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Output:</w:t>
      </w:r>
      <w:r>
        <w:t xml:space="preserve"> </w:t>
      </w:r>
      <w:r>
        <w:t xml:space="preserve">Conformance methodology + per-state assessment</w:t>
      </w:r>
    </w:p>
    <w:bookmarkEnd w:id="23"/>
    <w:bookmarkStart w:id="24" w:name="X4e836de8044302175133785bdbc881f9b2eaa20"/>
    <w:p>
      <w:pPr>
        <w:pStyle w:val="Heading3"/>
      </w:pPr>
      <w:r>
        <w:t xml:space="preserve">13. OS/OW Permit-Rule Interoperability Research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Need:</w:t>
      </w:r>
      <w:r>
        <w:t xml:space="preserve"> </w:t>
      </w:r>
      <w:r>
        <w:t xml:space="preserve">Research into how state oversize/overweight permit rules are encoded and exchanged, with attention to multi-state corridor consistency.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Why now:</w:t>
      </w:r>
      <w:r>
        <w:t xml:space="preserve"> </w:t>
      </w:r>
      <w:r>
        <w:t xml:space="preserve">NASCO has corridor-level guidance; state-by-state permit-rule encoding remains inconsistent in structure, vocabulary, and exchange format. Cross-state freight planning bears the cost.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Owner:</w:t>
      </w:r>
      <w:r>
        <w:t xml:space="preserve"> </w:t>
      </w:r>
      <w:r>
        <w:t xml:space="preserve">FHWA RD&amp;T with NASCO and AASHTO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Output:</w:t>
      </w:r>
      <w:r>
        <w:t xml:space="preserve"> </w:t>
      </w:r>
      <w:r>
        <w:t xml:space="preserve">Permit-rule data model and exchange specification</w:t>
      </w:r>
    </w:p>
    <w:bookmarkEnd w:id="24"/>
    <w:bookmarkStart w:id="25" w:name="X08d2231cea4a77756083db6fc6714beb73575f5"/>
    <w:p>
      <w:pPr>
        <w:pStyle w:val="Heading3"/>
      </w:pPr>
      <w:r>
        <w:t xml:space="preserve">14. Bridge-Clearance and Restriction Data Interoperability Research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Need:</w:t>
      </w:r>
      <w:r>
        <w:t xml:space="preserve"> </w:t>
      </w:r>
      <w:r>
        <w:t xml:space="preserve">Research into a standard exchange format for low-clearance, weight-restricted, and hazardous-cargo-restricted infrastructure inventory.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Why now:</w:t>
      </w:r>
      <w:r>
        <w:t xml:space="preserve"> </w:t>
      </w:r>
      <w:r>
        <w:t xml:space="preserve">Bridge clearance data is heterogeneous across states (units, datum reference, posted vs. measured); over-height-vehicle routing currently fails because of this heterogeneity.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Owner:</w:t>
      </w:r>
      <w:r>
        <w:t xml:space="preserve"> </w:t>
      </w:r>
      <w:r>
        <w:t xml:space="preserve">FHWA RD&amp;T + AASHTO Bridges committee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Output:</w:t>
      </w:r>
      <w:r>
        <w:t xml:space="preserve"> </w:t>
      </w:r>
      <w:r>
        <w:t xml:space="preserve">Data model and reference exchange spec</w:t>
      </w:r>
    </w:p>
    <w:bookmarkEnd w:id="25"/>
    <w:bookmarkEnd w:id="26"/>
    <w:bookmarkStart w:id="29" w:name="e.-decision-support-and-asset-management"/>
    <w:p>
      <w:pPr>
        <w:pStyle w:val="Heading2"/>
      </w:pPr>
      <w:r>
        <w:t xml:space="preserve">E. Decision Support and Asset Management</w:t>
      </w:r>
    </w:p>
    <w:bookmarkStart w:id="27" w:name="X2e10d6929d0fd5cb2fa0fe5fd6793475b086052"/>
    <w:p>
      <w:pPr>
        <w:pStyle w:val="Heading3"/>
      </w:pPr>
      <w:r>
        <w:t xml:space="preserve">15. Asset Health and ITS Equipment Status Interoperability Research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Need:</w:t>
      </w:r>
      <w:r>
        <w:t xml:space="preserve"> </w:t>
      </w:r>
      <w:r>
        <w:t xml:space="preserve">Research into a standard exchange format for ITS equipment health (cameras, DMS, RWIS, weather stations, V2X RSUs).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Why now:</w:t>
      </w:r>
      <w:r>
        <w:t xml:space="preserve"> </w:t>
      </w:r>
      <w:r>
        <w:t xml:space="preserve">Asset health data exists per-state with no exchange standard. Cross-state operations and federal asset-management RD&amp;T both suffer from the absence.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Owner:</w:t>
      </w:r>
      <w:r>
        <w:t xml:space="preserve"> </w:t>
      </w:r>
      <w:r>
        <w:t xml:space="preserve">FHWA RD&amp;T + TFHRC operations lab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Output:</w:t>
      </w:r>
      <w:r>
        <w:t xml:space="preserve"> </w:t>
      </w:r>
      <w:r>
        <w:t xml:space="preserve">Equipment status schema and reference implementation</w:t>
      </w:r>
    </w:p>
    <w:bookmarkEnd w:id="27"/>
    <w:bookmarkStart w:id="28" w:name="X935fe5183545a0fc382f335e98af6e748836883"/>
    <w:p>
      <w:pPr>
        <w:pStyle w:val="Heading3"/>
      </w:pPr>
      <w:r>
        <w:t xml:space="preserve">16. Digital Project Delivery / IFC-BIM Transportation Profile Research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Need:</w:t>
      </w:r>
      <w:r>
        <w:t xml:space="preserve"> </w:t>
      </w:r>
      <w:r>
        <w:t xml:space="preserve">Research into a transportation-specific IFC/BIM profile and metadata standards for digital project delivery exchange.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Why now:</w:t>
      </w:r>
      <w:r>
        <w:t xml:space="preserve"> </w:t>
      </w:r>
      <w:r>
        <w:t xml:space="preserve">IFC was designed for vertical construction. Transportation digital project delivery uses IFC inconsistently. The benefits the Letter Report cites —</w:t>
      </w:r>
      <w:r>
        <w:t xml:space="preserve"> </w:t>
      </w:r>
      <w:r>
        <w:t xml:space="preserve">“accelerating delivery of highway projects”</w:t>
      </w:r>
      <w:r>
        <w:t xml:space="preserve"> </w:t>
      </w:r>
      <w:r>
        <w:t xml:space="preserve">— depend on this profile existing.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Owner:</w:t>
      </w:r>
      <w:r>
        <w:t xml:space="preserve"> </w:t>
      </w:r>
      <w:r>
        <w:t xml:space="preserve">TFHRC infrastructure RD&amp;T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Output:</w:t>
      </w:r>
      <w:r>
        <w:t xml:space="preserve"> </w:t>
      </w:r>
      <w:r>
        <w:t xml:space="preserve">Transportation IFC profile, reference exchange tooling</w:t>
      </w:r>
    </w:p>
    <w:bookmarkEnd w:id="28"/>
    <w:bookmarkEnd w:id="29"/>
    <w:bookmarkStart w:id="32" w:name="Xc2a641a036e347f4ba75126a2ccc14e23a9e6ed"/>
    <w:p>
      <w:pPr>
        <w:pStyle w:val="Heading2"/>
      </w:pPr>
      <w:r>
        <w:t xml:space="preserve">F. Vendor Transparency and Practitioner Costs</w:t>
      </w:r>
    </w:p>
    <w:bookmarkStart w:id="30" w:name="Xe872923d0675b434163c7cc921dc16d6da42420"/>
    <w:p>
      <w:pPr>
        <w:pStyle w:val="Heading3"/>
      </w:pPr>
      <w:r>
        <w:t xml:space="preserve">17. Independent Comparative Evaluation Methodology for Commercial Data Products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Need:</w:t>
      </w:r>
      <w:r>
        <w:t xml:space="preserve"> </w:t>
      </w:r>
      <w:r>
        <w:t xml:space="preserve">Open methodology for head-to-head, methodologically-transparent evaluation of commercial probe, incident, and work-zone data products.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now:</w:t>
      </w:r>
      <w:r>
        <w:t xml:space="preserve"> </w:t>
      </w:r>
      <w:r>
        <w:t xml:space="preserve">State DOTs replicate similar RFP and vendor-comparison work in isolation each procurement cycle. No federally-curated, published methodology exists.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Owner:</w:t>
      </w:r>
      <w:r>
        <w:t xml:space="preserve"> </w:t>
      </w:r>
      <w:r>
        <w:t xml:space="preserve">FHWA RD&amp;T + NCHRP joint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Output:</w:t>
      </w:r>
      <w:r>
        <w:t xml:space="preserve"> </w:t>
      </w:r>
      <w:r>
        <w:t xml:space="preserve">Open methodology and empirical findings.</w:t>
      </w:r>
      <w:r>
        <w:t xml:space="preserve"> </w:t>
      </w:r>
      <w:r>
        <w:rPr>
          <w:b/>
          <w:bCs/>
        </w:rPr>
        <w:t xml:space="preserve">Explicitly not</w:t>
      </w:r>
      <w:r>
        <w:t xml:space="preserve"> </w:t>
      </w:r>
      <w:r>
        <w:t xml:space="preserve">a procurement recommendation or product endorsement.</w:t>
      </w:r>
    </w:p>
    <w:bookmarkEnd w:id="30"/>
    <w:bookmarkStart w:id="31" w:name="X7add52dbdc98014dbff535d3ac3c89d490d3d8f"/>
    <w:p>
      <w:pPr>
        <w:pStyle w:val="Heading3"/>
      </w:pPr>
      <w:r>
        <w:t xml:space="preserve">18. Downstream-Cost Research on TFHRC External-Engagement Constraints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Need:</w:t>
      </w:r>
      <w:r>
        <w:t xml:space="preserve"> </w:t>
      </w:r>
      <w:r>
        <w:t xml:space="preserve">Quantify the practitioner-side and state-DOT-side cost of constraints on TFHRC researchers’ external engagement (Letter Report Recommendation 2).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Why now:</w:t>
      </w:r>
      <w:r>
        <w:t xml:space="preserve"> </w:t>
      </w:r>
      <w:r>
        <w:t xml:space="preserve">HSIS partial dark-out; reduced detail in AMRP/TFHRC Long-Range Plan publications; reduced conference engagement. These costs are real, distributed, and largely invisible to FHWA today.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Owner:</w:t>
      </w:r>
      <w:r>
        <w:t xml:space="preserve"> </w:t>
      </w:r>
      <w:r>
        <w:t xml:space="preserve">TRB Cooperative Research Program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Output:</w:t>
      </w:r>
      <w:r>
        <w:t xml:space="preserve"> </w:t>
      </w:r>
      <w:r>
        <w:t xml:space="preserve">Empirical characterization of the downstream cost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what-i-am-not-asking-for"/>
    <w:p>
      <w:pPr>
        <w:pStyle w:val="Heading2"/>
      </w:pPr>
      <w:r>
        <w:t xml:space="preserve">What I am NOT asking for</w:t>
      </w:r>
    </w:p>
    <w:p>
      <w:pPr>
        <w:pStyle w:val="Compact"/>
        <w:numPr>
          <w:ilvl w:val="0"/>
          <w:numId w:val="1019"/>
        </w:numPr>
      </w:pPr>
      <w:r>
        <w:t xml:space="preserve">No specific system, product, or service for the committee to evaluate, fund, or adopt</w:t>
      </w:r>
    </w:p>
    <w:p>
      <w:pPr>
        <w:pStyle w:val="Compact"/>
        <w:numPr>
          <w:ilvl w:val="0"/>
          <w:numId w:val="1019"/>
        </w:numPr>
      </w:pPr>
      <w:r>
        <w:t xml:space="preserve">No procurement guidance</w:t>
      </w:r>
    </w:p>
    <w:p>
      <w:pPr>
        <w:pStyle w:val="Compact"/>
        <w:numPr>
          <w:ilvl w:val="0"/>
          <w:numId w:val="1019"/>
        </w:numPr>
      </w:pPr>
      <w:r>
        <w:t xml:space="preserve">No federal scoring of states as a regulatory function</w:t>
      </w:r>
    </w:p>
    <w:p>
      <w:pPr>
        <w:pStyle w:val="Compact"/>
        <w:numPr>
          <w:ilvl w:val="0"/>
          <w:numId w:val="1019"/>
        </w:numPr>
      </w:pPr>
      <w:r>
        <w:t xml:space="preserve">No endorsement of any methodology beyond those produced as research output</w:t>
      </w:r>
    </w:p>
    <w:p>
      <w:pPr>
        <w:pStyle w:val="FirstParagraph"/>
      </w:pPr>
      <w:r>
        <w:t xml:space="preserve">All eighteen items above are recommendations for</w:t>
      </w:r>
      <w:r>
        <w:t xml:space="preserve"> </w:t>
      </w:r>
      <w:r>
        <w:rPr>
          <w:b/>
          <w:bCs/>
        </w:rPr>
        <w:t xml:space="preserve">federal research investment</w:t>
      </w:r>
      <w:r>
        <w:t xml:space="preserve"> </w:t>
      </w:r>
      <w:r>
        <w:t xml:space="preserve">to advance interoperability in support of the digital infrastructure direction the Committee has already endorsed.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2026-05-11T22:50:28Z</dcterms:created>
  <dcterms:modified xsi:type="dcterms:W3CDTF">2026-05-11T22:50:28Z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