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Xc8d9809bf206b424e6a503dcec47e31830ffdd2"/>
    <w:p>
      <w:pPr>
        <w:pStyle w:val="Heading1"/>
      </w:pPr>
      <w:r>
        <w:t xml:space="preserve">Federal Research Needs — Digital Infrastructure Interoperability</w:t>
      </w:r>
    </w:p>
    <w:p>
      <w:pPr>
        <w:pStyle w:val="FirstParagraph"/>
      </w:pPr>
      <w:r>
        <w:rPr>
          <w:b/>
          <w:bCs/>
        </w:rPr>
        <w:t xml:space="preserve">Talking Points · RTCC Meeting · May 2026</w:t>
      </w:r>
      <w:r>
        <w:t xml:space="preserve"> </w:t>
      </w:r>
      <w:r>
        <w:rPr>
          <w:b/>
          <w:bCs/>
        </w:rPr>
        <w:t xml:space="preserve">Matt Miller — state-side perspective on a national problem</w:t>
      </w:r>
    </w:p>
    <w:p>
      <w:pPr>
        <w:pStyle w:val="BodyText"/>
      </w:pPr>
      <w:r>
        <w:rPr>
          <w:b/>
          <w:bCs/>
        </w:rPr>
        <w:t xml:space="preserve">Framing:</w:t>
      </w:r>
      <w:r>
        <w:t xml:space="preserve"> </w:t>
      </w:r>
      <w:r>
        <w:t xml:space="preserve">state DOTs are individually responsible for safe, efficient, multi-jurisdictional corridors. The digital infrastructure connecting them is decentralized and unevenly conformant; states cannot harmonize it from where they sit. The recommendations below are research investments shaped to a 2–3 year federal RD&amp;T cycle, additive to existing FHWA / ITS-JPO / TFHRC / NCHRP / NPMRDS / AASHTO standards work. None propose any product, system, or service for adoption.</w:t>
      </w:r>
    </w:p>
    <w:p>
      <w:r>
        <w:pict>
          <v:rect style="width:0;height:1.5pt" o:hralign="center" o:hrstd="t" o:hr="t"/>
        </w:pict>
      </w:r>
    </w:p>
    <w:bookmarkStart w:id="14" w:name="Xb45621dd6324fbdeff9c7738152b6057a39b610"/>
    <w:p>
      <w:pPr>
        <w:pStyle w:val="Heading2"/>
      </w:pPr>
      <w:r>
        <w:t xml:space="preserve">A. Feeds, Standards, and Interoperability Measurement</w:t>
      </w:r>
    </w:p>
    <w:bookmarkStart w:id="9" w:name="measurement-of-interoperability-research"/>
    <w:p>
      <w:pPr>
        <w:pStyle w:val="Heading3"/>
      </w:pPr>
      <w:r>
        <w:t xml:space="preserve">1. Measurement-of-Interoperability Research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State lens:</w:t>
      </w:r>
      <w:r>
        <w:t xml:space="preserve"> </w:t>
      </w:r>
      <w:r>
        <w:t xml:space="preserve">A state TMC consuming neighbor feeds has no federally-curated baseline against which to judge what it’s receiving.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Horizon:</w:t>
      </w:r>
      <w:r>
        <w:t xml:space="preserve"> </w:t>
      </w:r>
      <w:r>
        <w:t xml:space="preserve">Phase 1 methodology + baseline (6mo) → Phase 2 continuous measurement (24mo) → Phase 3 longitudinal trends (36mo).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Owner:</w:t>
      </w:r>
      <w:r>
        <w:t xml:space="preserve"> </w:t>
      </w:r>
      <w:r>
        <w:t xml:space="preserve">FHWA RD&amp;T / TFHRC, NCHRP support.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Output:</w:t>
      </w:r>
      <w:r>
        <w:t xml:space="preserve"> </w:t>
      </w:r>
      <w:r>
        <w:t xml:space="preserve">Open methodology, public per-producer measurements.</w:t>
      </w:r>
    </w:p>
    <w:bookmarkEnd w:id="9"/>
    <w:bookmarkStart w:id="10" w:name="X2e08c8497c6097a69c2408c74bcd1686f839ebf"/>
    <w:p>
      <w:pPr>
        <w:pStyle w:val="Heading3"/>
      </w:pPr>
      <w:r>
        <w:t xml:space="preserve">2. Authoritative Cross-Specification Crosswalk Research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State lens:</w:t>
      </w:r>
      <w:r>
        <w:t xml:space="preserve"> </w:t>
      </w:r>
      <w:r>
        <w:t xml:space="preserve">Every state reinvents WZDx↔TMDD↔CIFS translation; the translations diverge silently.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Horizon:</w:t>
      </w:r>
      <w:r>
        <w:t xml:space="preserve"> </w:t>
      </w:r>
      <w:r>
        <w:t xml:space="preserve">Crosswalk authoring (9mo) → reference implementation + pilot (24mo) → standards submission (30mo).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Owner:</w:t>
      </w:r>
      <w:r>
        <w:t xml:space="preserve"> </w:t>
      </w:r>
      <w:r>
        <w:t xml:space="preserve">FHWA RD&amp;T with SAE, ITE, AASHTO.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Output:</w:t>
      </w:r>
      <w:r>
        <w:t xml:space="preserve"> </w:t>
      </w:r>
      <w:r>
        <w:t xml:space="preserve">Reference crosswalks + open-source normalization implementation.</w:t>
      </w:r>
    </w:p>
    <w:bookmarkEnd w:id="10"/>
    <w:bookmarkStart w:id="11" w:name="sub-state-and-regional-layer-research"/>
    <w:p>
      <w:pPr>
        <w:pStyle w:val="Heading3"/>
      </w:pPr>
      <w:r>
        <w:t xml:space="preserve">3. Sub-State and Regional Layer Research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State lens:</w:t>
      </w:r>
      <w:r>
        <w:t xml:space="preserve"> </w:t>
      </w:r>
      <w:r>
        <w:t xml:space="preserve">Cities, counties, toll authorities, tribal agencies publish feeds that overlap incompatibly with the state’s. The state cannot harmonize these alone.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Horizon:</w:t>
      </w:r>
      <w:r>
        <w:t xml:space="preserve"> </w:t>
      </w:r>
      <w:r>
        <w:t xml:space="preserve">Inventory (6mo) → conformance/overlap analysis (18mo) → harmonization policy options (30mo).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Owner:</w:t>
      </w:r>
      <w:r>
        <w:t xml:space="preserve"> </w:t>
      </w:r>
      <w:r>
        <w:t xml:space="preserve">FHWA RD&amp;T + NCHRP.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Output:</w:t>
      </w:r>
      <w:r>
        <w:t xml:space="preserve"> </w:t>
      </w:r>
      <w:r>
        <w:t xml:space="preserve">Inventory, conformance assessment, policy-lever analysis.</w:t>
      </w:r>
    </w:p>
    <w:bookmarkEnd w:id="11"/>
    <w:bookmarkStart w:id="12" w:name="X70af24bec548e9638505a57b769ae20179aeb2e"/>
    <w:p>
      <w:pPr>
        <w:pStyle w:val="Heading3"/>
      </w:pPr>
      <w:r>
        <w:t xml:space="preserve">4. Non-WZDx Federal-Partner Feed Integration Research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State lens:</w:t>
      </w:r>
      <w:r>
        <w:t xml:space="preserve"> </w:t>
      </w:r>
      <w:r>
        <w:t xml:space="preserve">State TMCs use NWS Alerts, CBP Wait Times, NPS Road Events, IPAWS ad hoc with no canonical fusion guidance.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Horizon:</w:t>
      </w:r>
      <w:r>
        <w:t xml:space="preserve"> </w:t>
      </w:r>
      <w:r>
        <w:t xml:space="preserve">Feed inventory (9mo) → reference architecture (24mo) → state pilot (36mo).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Owner:</w:t>
      </w:r>
      <w:r>
        <w:t xml:space="preserve"> </w:t>
      </w:r>
      <w:r>
        <w:t xml:space="preserve">FHWA RD&amp;T with FEMA, NWS, CBP.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Output:</w:t>
      </w:r>
      <w:r>
        <w:t xml:space="preserve"> </w:t>
      </w:r>
      <w:r>
        <w:t xml:space="preserve">Reference architecture and fusion patterns.</w:t>
      </w:r>
    </w:p>
    <w:bookmarkEnd w:id="12"/>
    <w:bookmarkStart w:id="13" w:name="Xf0810c79a417055f6ed48ceceea41517a243108"/>
    <w:p>
      <w:pPr>
        <w:pStyle w:val="Heading3"/>
      </w:pPr>
      <w:r>
        <w:t xml:space="preserve">5. Provenance and Lineage Standards Research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State lens:</w:t>
      </w:r>
      <w:r>
        <w:t xml:space="preserve"> </w:t>
      </w:r>
      <w:r>
        <w:t xml:space="preserve">Cross-feed event fusion is not auditable today; no provenance schema exists for which feed contributed which field.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Horizon:</w:t>
      </w:r>
      <w:r>
        <w:t xml:space="preserve"> </w:t>
      </w:r>
      <w:r>
        <w:t xml:space="preserve">Schema (9mo) → reference implementation (24mo) → integration with WZDx and adjacent specs (36mo).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Owner:</w:t>
      </w:r>
      <w:r>
        <w:t xml:space="preserve"> </w:t>
      </w:r>
      <w:r>
        <w:t xml:space="preserve">TRB Cooperative Research Program.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Output:</w:t>
      </w:r>
      <w:r>
        <w:t xml:space="preserve"> </w:t>
      </w:r>
      <w:r>
        <w:t xml:space="preserve">Provenance schema + reference implementation.</w:t>
      </w:r>
    </w:p>
    <w:bookmarkEnd w:id="13"/>
    <w:bookmarkEnd w:id="14"/>
    <w:bookmarkStart w:id="18" w:name="X2a3e4861598db1f96d9c63742c10b03379cb621"/>
    <w:p>
      <w:pPr>
        <w:pStyle w:val="Heading2"/>
      </w:pPr>
      <w:r>
        <w:t xml:space="preserve">B. Data Quality, Measurement, and Validation</w:t>
      </w:r>
    </w:p>
    <w:bookmarkStart w:id="15" w:name="X947bbfa296e5ceeddc4b6af7cf35d9c7d91df51"/>
    <w:p>
      <w:pPr>
        <w:pStyle w:val="Heading3"/>
      </w:pPr>
      <w:r>
        <w:t xml:space="preserve">6. Standardized Data Quality Index Methodology Research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State lens:</w:t>
      </w:r>
      <w:r>
        <w:t xml:space="preserve"> </w:t>
      </w:r>
      <w:r>
        <w:t xml:space="preserve">Each state and each vendor uses its own</w:t>
      </w:r>
      <w:r>
        <w:t xml:space="preserve"> </w:t>
      </w:r>
      <w:r>
        <w:t xml:space="preserve">“quality”</w:t>
      </w:r>
      <w:r>
        <w:t xml:space="preserve"> </w:t>
      </w:r>
      <w:r>
        <w:t xml:space="preserve">definition; cross-comparison is therefore not possible.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Horizon:</w:t>
      </w:r>
      <w:r>
        <w:t xml:space="preserve"> </w:t>
      </w:r>
      <w:r>
        <w:t xml:space="preserve">Methodology (9mo) → pilot scoring at scale (24mo) → publication + governance (30mo).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Owner:</w:t>
      </w:r>
      <w:r>
        <w:t xml:space="preserve"> </w:t>
      </w:r>
      <w:r>
        <w:t xml:space="preserve">FHWA RD&amp;T + NCHRP.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Output:</w:t>
      </w:r>
      <w:r>
        <w:t xml:space="preserve"> </w:t>
      </w:r>
      <w:r>
        <w:t xml:space="preserve">Open, versioned DQI methodology with reference scores.</w:t>
      </w:r>
    </w:p>
    <w:bookmarkEnd w:id="15"/>
    <w:bookmarkStart w:id="16" w:name="Xcc40d18eca7501cc1ac38cb6b49deeb9c41d762"/>
    <w:p>
      <w:pPr>
        <w:pStyle w:val="Heading3"/>
      </w:pPr>
      <w:r>
        <w:t xml:space="preserve">7. Ground Truth and Predictive Model Validation Research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State lens:</w:t>
      </w:r>
      <w:r>
        <w:t xml:space="preserve"> </w:t>
      </w:r>
      <w:r>
        <w:t xml:space="preserve">States deploy predictive analytics with each implementation defining its own</w:t>
      </w:r>
      <w:r>
        <w:t xml:space="preserve"> </w:t>
      </w:r>
      <w:r>
        <w:t xml:space="preserve">“good enough.”</w:t>
      </w:r>
      <w:r>
        <w:t xml:space="preserve"> </w:t>
      </w:r>
      <w:r>
        <w:t xml:space="preserve">No shared validation framework.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Horizon:</w:t>
      </w:r>
      <w:r>
        <w:t xml:space="preserve"> </w:t>
      </w:r>
      <w:r>
        <w:t xml:space="preserve">Protocol design (9mo) → dataset collection (24mo) → publication (36mo).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Owner:</w:t>
      </w:r>
      <w:r>
        <w:t xml:space="preserve"> </w:t>
      </w:r>
      <w:r>
        <w:t xml:space="preserve">FHWA RD&amp;T, TFHRC, NCHRP.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Output:</w:t>
      </w:r>
      <w:r>
        <w:t xml:space="preserve"> </w:t>
      </w:r>
      <w:r>
        <w:t xml:space="preserve">Ground-truth protocols + reference validation datasets.</w:t>
      </w:r>
    </w:p>
    <w:bookmarkEnd w:id="16"/>
    <w:bookmarkStart w:id="17" w:name="X64448a57d31039ec90a7e71fbda68e13b47a9dd"/>
    <w:p>
      <w:pPr>
        <w:pStyle w:val="Heading3"/>
      </w:pPr>
      <w:r>
        <w:t xml:space="preserve">8. Coverage Gap and Cross-State Correlation Research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State lens:</w:t>
      </w:r>
      <w:r>
        <w:t xml:space="preserve"> </w:t>
      </w:r>
      <w:r>
        <w:t xml:space="preserve">A state planning multi-state strategy has no federally-curated view of where the national event picture is incomplete.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Horizon:</w:t>
      </w:r>
      <w:r>
        <w:t xml:space="preserve"> </w:t>
      </w:r>
      <w:r>
        <w:t xml:space="preserve">Methodology + initial assessment (12mo) → continuous updating (30mo) → reporting interface (36mo).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Owner:</w:t>
      </w:r>
      <w:r>
        <w:t xml:space="preserve"> </w:t>
      </w:r>
      <w:r>
        <w:t xml:space="preserve">FHWA RD&amp;T.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Output:</w:t>
      </w:r>
      <w:r>
        <w:t xml:space="preserve"> </w:t>
      </w:r>
      <w:r>
        <w:t xml:space="preserve">Methodology + ongoing public coverage assessment.</w:t>
      </w:r>
    </w:p>
    <w:bookmarkEnd w:id="17"/>
    <w:bookmarkEnd w:id="18"/>
    <w:bookmarkStart w:id="22" w:name="c.-operations-workflows-and-coordination"/>
    <w:p>
      <w:pPr>
        <w:pStyle w:val="Heading2"/>
      </w:pPr>
      <w:r>
        <w:t xml:space="preserve">C. Operations Workflows and Coordination</w:t>
      </w:r>
    </w:p>
    <w:bookmarkStart w:id="19" w:name="Xd23206c0b66d72a150b502111ce46be885427be"/>
    <w:p>
      <w:pPr>
        <w:pStyle w:val="Heading3"/>
      </w:pPr>
      <w:r>
        <w:t xml:space="preserve">9. Multi-State Closure &amp; Diversion Coordination Research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State lens:</w:t>
      </w:r>
      <w:r>
        <w:t xml:space="preserve"> </w:t>
      </w:r>
      <w:r>
        <w:t xml:space="preserve">Multi-state freight-corridor closures coordinate by phone and email between TMCs. No protocol or data-exchange standard exists for operational tempo.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Horizon:</w:t>
      </w:r>
      <w:r>
        <w:t xml:space="preserve"> </w:t>
      </w:r>
      <w:r>
        <w:t xml:space="preserve">Process/gap analysis (9mo) → protocol design (24mo) → multi-corridor pilot (36mo).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Owner:</w:t>
      </w:r>
      <w:r>
        <w:t xml:space="preserve"> </w:t>
      </w:r>
      <w:r>
        <w:t xml:space="preserve">FHWA RD&amp;T with AASHTO.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Output:</w:t>
      </w:r>
      <w:r>
        <w:t xml:space="preserve"> </w:t>
      </w:r>
      <w:r>
        <w:t xml:space="preserve">Reference coordination protocol + data-exchange spec.</w:t>
      </w:r>
    </w:p>
    <w:bookmarkEnd w:id="19"/>
    <w:bookmarkStart w:id="20" w:name="X1c600d23b673df8f19283952734c568e07f94c4"/>
    <w:p>
      <w:pPr>
        <w:pStyle w:val="Heading3"/>
      </w:pPr>
      <w:r>
        <w:t xml:space="preserve">10. DMS Messaging Conformance and Effectiveness Research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State lens:</w:t>
      </w:r>
      <w:r>
        <w:t xml:space="preserve"> </w:t>
      </w:r>
      <w:r>
        <w:t xml:space="preserve">Same incident, signed differently in each state the driver passes through. Effectiveness cost is uncharacterized.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Horizon:</w:t>
      </w:r>
      <w:r>
        <w:t xml:space="preserve"> </w:t>
      </w:r>
      <w:r>
        <w:t xml:space="preserve">Cross-state audit (9mo) → effectiveness study (24mo) → pattern library (36mo).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Owner:</w:t>
      </w:r>
      <w:r>
        <w:t xml:space="preserve"> </w:t>
      </w:r>
      <w:r>
        <w:t xml:space="preserve">FHWA RD&amp;T with state DOTs.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Output:</w:t>
      </w:r>
      <w:r>
        <w:t xml:space="preserve"> </w:t>
      </w:r>
      <w:r>
        <w:t xml:space="preserve">Empirical effectiveness findings + recommended cross-state pattern library.</w:t>
      </w:r>
    </w:p>
    <w:bookmarkEnd w:id="20"/>
    <w:bookmarkStart w:id="21" w:name="X92d8cd5a7f5de4d3206bc81ac14f0f3bdf7568d"/>
    <w:p>
      <w:pPr>
        <w:pStyle w:val="Heading3"/>
      </w:pPr>
      <w:r>
        <w:t xml:space="preserve">11. Truck-Parking Sensor Data Quality Research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State lens:</w:t>
      </w:r>
      <w:r>
        <w:t xml:space="preserve"> </w:t>
      </w:r>
      <w:r>
        <w:t xml:space="preserve">MAASTO shows federal coordination works at the protocol level; sensor data quality is the limiting factor (Illinois sites self-flagging as untrusted).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Horizon:</w:t>
      </w:r>
      <w:r>
        <w:t xml:space="preserve"> </w:t>
      </w:r>
      <w:r>
        <w:t xml:space="preserve">Failure-mode characterization (9mo) → calibration methodology (24mo) → reference deployment guidance (36mo).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Owner:</w:t>
      </w:r>
      <w:r>
        <w:t xml:space="preserve"> </w:t>
      </w:r>
      <w:r>
        <w:t xml:space="preserve">FHWA RD&amp;T + TFHRC sensors lab.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Output:</w:t>
      </w:r>
      <w:r>
        <w:t xml:space="preserve"> </w:t>
      </w:r>
      <w:r>
        <w:t xml:space="preserve">Sensor reliability research + calibration methodology.</w:t>
      </w:r>
    </w:p>
    <w:bookmarkEnd w:id="21"/>
    <w:bookmarkEnd w:id="22"/>
    <w:bookmarkStart w:id="26" w:name="X07e087bb51ae179f6b95af6295232a687ef5729"/>
    <w:p>
      <w:pPr>
        <w:pStyle w:val="Heading2"/>
      </w:pPr>
      <w:r>
        <w:t xml:space="preserve">D. Compliance, Regulatory, and Permit Interoperability</w:t>
      </w:r>
    </w:p>
    <w:bookmarkStart w:id="23" w:name="Xa8ccdee9eded3ba4b45bcac4922d85ebe232b59"/>
    <w:p>
      <w:pPr>
        <w:pStyle w:val="Heading3"/>
      </w:pPr>
      <w:r>
        <w:t xml:space="preserve">12. IPAWS Road-Impact Authoring Conformance Research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State lens:</w:t>
      </w:r>
      <w:r>
        <w:t xml:space="preserve"> </w:t>
      </w:r>
      <w:r>
        <w:t xml:space="preserve">State DOT on-ramp from operational events to CAP-compliant authoring is unclear and inconsistent.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Horizon:</w:t>
      </w:r>
      <w:r>
        <w:t xml:space="preserve"> </w:t>
      </w:r>
      <w:r>
        <w:t xml:space="preserve">State survey (9mo) → methodology + assessment (24mo) → integration patterns (30mo).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Owner:</w:t>
      </w:r>
      <w:r>
        <w:t xml:space="preserve"> </w:t>
      </w:r>
      <w:r>
        <w:t xml:space="preserve">FHWA RD&amp;T with FEMA IPAWS Program Office.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Output:</w:t>
      </w:r>
      <w:r>
        <w:t xml:space="preserve"> </w:t>
      </w:r>
      <w:r>
        <w:t xml:space="preserve">Conformance methodology + per-state assessment.</w:t>
      </w:r>
    </w:p>
    <w:bookmarkEnd w:id="23"/>
    <w:bookmarkStart w:id="24" w:name="X4e836de8044302175133785bdbc881f9b2eaa20"/>
    <w:p>
      <w:pPr>
        <w:pStyle w:val="Heading3"/>
      </w:pPr>
      <w:r>
        <w:t xml:space="preserve">13. OS/OW Permit-Rule Interoperability Research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State lens:</w:t>
      </w:r>
      <w:r>
        <w:t xml:space="preserve"> </w:t>
      </w:r>
      <w:r>
        <w:t xml:space="preserve">State permit-rule digitization is progressing individually; cross-state corridor consistency in structure and vocabulary remains poor. Carriers and routing engines absorb the cost.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Horizon:</w:t>
      </w:r>
      <w:r>
        <w:t xml:space="preserve"> </w:t>
      </w:r>
      <w:r>
        <w:t xml:space="preserve">Encoding survey (9mo) → data model (24mo) → NASCO corridor pilot (36mo).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Owner:</w:t>
      </w:r>
      <w:r>
        <w:t xml:space="preserve"> </w:t>
      </w:r>
      <w:r>
        <w:t xml:space="preserve">FHWA RD&amp;T with NASCO and AASHTO.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Output:</w:t>
      </w:r>
      <w:r>
        <w:t xml:space="preserve"> </w:t>
      </w:r>
      <w:r>
        <w:t xml:space="preserve">Permit-rule data model + exchange specification.</w:t>
      </w:r>
    </w:p>
    <w:bookmarkEnd w:id="24"/>
    <w:bookmarkStart w:id="25" w:name="X08d2231cea4a77756083db6fc6714beb73575f5"/>
    <w:p>
      <w:pPr>
        <w:pStyle w:val="Heading3"/>
      </w:pPr>
      <w:r>
        <w:t xml:space="preserve">14. Bridge-Clearance and Restriction Data Interoperability Research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State lens:</w:t>
      </w:r>
      <w:r>
        <w:t xml:space="preserve"> </w:t>
      </w:r>
      <w:r>
        <w:t xml:space="preserve">Bridge clearance data is heterogeneous across states (units, datum, posted vs. measured); over-height routing fails at state lines.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Horizon:</w:t>
      </w:r>
      <w:r>
        <w:t xml:space="preserve"> </w:t>
      </w:r>
      <w:r>
        <w:t xml:space="preserve">Inventory survey (9mo) → data model (24mo) → pilot exchange (36mo).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Owner:</w:t>
      </w:r>
      <w:r>
        <w:t xml:space="preserve"> </w:t>
      </w:r>
      <w:r>
        <w:t xml:space="preserve">FHWA RD&amp;T with AASHTO Bridges Committee.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Output:</w:t>
      </w:r>
      <w:r>
        <w:t xml:space="preserve"> </w:t>
      </w:r>
      <w:r>
        <w:t xml:space="preserve">Standard exchange format.</w:t>
      </w:r>
    </w:p>
    <w:bookmarkEnd w:id="25"/>
    <w:bookmarkEnd w:id="26"/>
    <w:bookmarkStart w:id="29" w:name="e.-decision-support-and-asset-management"/>
    <w:p>
      <w:pPr>
        <w:pStyle w:val="Heading2"/>
      </w:pPr>
      <w:r>
        <w:t xml:space="preserve">E. Decision Support and Asset Management</w:t>
      </w:r>
    </w:p>
    <w:bookmarkStart w:id="27" w:name="Xa4750fb4e7aacb92b54dc304e53583f6569c388"/>
    <w:p>
      <w:pPr>
        <w:pStyle w:val="Heading3"/>
      </w:pPr>
      <w:r>
        <w:t xml:space="preserve">15. Asset Health &amp; ITS Equipment Status Interoperability Research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State lens:</w:t>
      </w:r>
      <w:r>
        <w:t xml:space="preserve"> </w:t>
      </w:r>
      <w:r>
        <w:t xml:space="preserve">Cameras, DMS, RWIS, V2X RSU health data exists per-state with no exchange standard. Cross-state coordination and federal asset-management RD&amp;T both suffer.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Horizon:</w:t>
      </w:r>
      <w:r>
        <w:t xml:space="preserve"> </w:t>
      </w:r>
      <w:r>
        <w:t xml:space="preserve">Requirements (9mo) → schema + reference implementation (24mo) → three-state pilot (36mo).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Owner:</w:t>
      </w:r>
      <w:r>
        <w:t xml:space="preserve"> </w:t>
      </w:r>
      <w:r>
        <w:t xml:space="preserve">FHWA RD&amp;T + TFHRC operations lab.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Output:</w:t>
      </w:r>
      <w:r>
        <w:t xml:space="preserve"> </w:t>
      </w:r>
      <w:r>
        <w:t xml:space="preserve">Equipment status schema + reference implementation.</w:t>
      </w:r>
    </w:p>
    <w:bookmarkEnd w:id="27"/>
    <w:bookmarkStart w:id="28" w:name="transportation-ifcbim-profile-research"/>
    <w:p>
      <w:pPr>
        <w:pStyle w:val="Heading3"/>
      </w:pPr>
      <w:r>
        <w:t xml:space="preserve">16. Transportation IFC/BIM Profile Research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State lens:</w:t>
      </w:r>
      <w:r>
        <w:t xml:space="preserve"> </w:t>
      </w:r>
      <w:r>
        <w:t xml:space="preserve">States are being asked to deliver digitally. IFC was designed for vertical construction; transportation use is inconsistent. The Letter Report’s</w:t>
      </w:r>
      <w:r>
        <w:t xml:space="preserve"> </w:t>
      </w:r>
      <w:r>
        <w:t xml:space="preserve">“accelerating project delivery”</w:t>
      </w:r>
      <w:r>
        <w:t xml:space="preserve"> </w:t>
      </w:r>
      <w:r>
        <w:t xml:space="preserve">promise depends on this profile existing.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Horizon:</w:t>
      </w:r>
      <w:r>
        <w:t xml:space="preserve"> </w:t>
      </w:r>
      <w:r>
        <w:t xml:space="preserve">Requirements + profile draft (12mo) → pilot exchange (24mo) → standards submission (36mo).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Owner:</w:t>
      </w:r>
      <w:r>
        <w:t xml:space="preserve"> </w:t>
      </w:r>
      <w:r>
        <w:t xml:space="preserve">TFHRC infrastructure RD&amp;T.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Output:</w:t>
      </w:r>
      <w:r>
        <w:t xml:space="preserve"> </w:t>
      </w:r>
      <w:r>
        <w:t xml:space="preserve">Transportation IFC profile + reference exchange tooling.</w:t>
      </w:r>
    </w:p>
    <w:bookmarkEnd w:id="28"/>
    <w:bookmarkEnd w:id="29"/>
    <w:bookmarkStart w:id="32" w:name="Xc2a641a036e347f4ba75126a2ccc14e23a9e6ed"/>
    <w:p>
      <w:pPr>
        <w:pStyle w:val="Heading2"/>
      </w:pPr>
      <w:r>
        <w:t xml:space="preserve">F. Vendor Transparency and Practitioner Costs</w:t>
      </w:r>
    </w:p>
    <w:bookmarkStart w:id="30" w:name="Xe872923d0675b434163c7cc921dc16d6da42420"/>
    <w:p>
      <w:pPr>
        <w:pStyle w:val="Heading3"/>
      </w:pPr>
      <w:r>
        <w:t xml:space="preserve">17. Independent Comparative Evaluation Methodology for Commercial Data Products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State lens:</w:t>
      </w:r>
      <w:r>
        <w:t xml:space="preserve"> </w:t>
      </w:r>
      <w:r>
        <w:t xml:space="preserve">Each procurement cycle replicates substantially the same RFP and vendor-comparison work. No federally-curated methodology exists; cost to states is direct and recurring.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Horizon:</w:t>
      </w:r>
      <w:r>
        <w:t xml:space="preserve"> </w:t>
      </w:r>
      <w:r>
        <w:t xml:space="preserve">Methodology (9mo) → empirical evaluation cycle (24mo) → publication (30mo).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Owner:</w:t>
      </w:r>
      <w:r>
        <w:t xml:space="preserve"> </w:t>
      </w:r>
      <w:r>
        <w:t xml:space="preserve">FHWA RD&amp;T + NCHRP joint topic.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Output:</w:t>
      </w:r>
      <w:r>
        <w:t xml:space="preserve"> </w:t>
      </w:r>
      <w:r>
        <w:t xml:space="preserve">Open methodology + empirical findings.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procurement recommendations or product endorsements.</w:t>
      </w:r>
    </w:p>
    <w:bookmarkEnd w:id="30"/>
    <w:bookmarkStart w:id="31" w:name="X7add52dbdc98014dbff535d3ac3c89d490d3d8f"/>
    <w:p>
      <w:pPr>
        <w:pStyle w:val="Heading3"/>
      </w:pPr>
      <w:r>
        <w:t xml:space="preserve">18. Downstream-Cost Research on TFHRC External-Engagement Constraints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State lens:</w:t>
      </w:r>
      <w:r>
        <w:t xml:space="preserve"> </w:t>
      </w:r>
      <w:r>
        <w:t xml:space="preserve">As state-side consumers of federal research, the constraints flagged in Letter Report Recommendation 2 (HSIS dark-out, reduced AMRP detail, reduced conference engagement) are not abstract; they each have measurable downstream cost.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Horizon:</w:t>
      </w:r>
      <w:r>
        <w:t xml:space="preserve"> </w:t>
      </w:r>
      <w:r>
        <w:t xml:space="preserve">Practitioner survey (6mo) → empirical assessment (18mo) → synthesis report (24mo).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Owner:</w:t>
      </w:r>
      <w:r>
        <w:t xml:space="preserve"> </w:t>
      </w:r>
      <w:r>
        <w:t xml:space="preserve">TRB Cooperative Research Program.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Output:</w:t>
      </w:r>
      <w:r>
        <w:t xml:space="preserve"> </w:t>
      </w:r>
      <w:r>
        <w:t xml:space="preserve">Empirical characterization to inform internal FHWA process change.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X5bc342bf41c36f84ccf0a53c55ff8e31113d33b"/>
    <w:p>
      <w:pPr>
        <w:pStyle w:val="Heading2"/>
      </w:pPr>
      <w:r>
        <w:t xml:space="preserve">Voting Strategy Notes (For Matt — Not For Distribution)</w:t>
      </w:r>
    </w:p>
    <w:p>
      <w:pPr>
        <w:pStyle w:val="FirstParagraph"/>
      </w:pPr>
      <w:r>
        <w:t xml:space="preserve">If the Committee proceeds to vote-by-item rather than collective deliberation, prioritize defense of these as the highest-leverage / lowest-cost: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A.1</w:t>
      </w:r>
      <w:r>
        <w:t xml:space="preserve"> </w:t>
      </w:r>
      <w:r>
        <w:t xml:space="preserve">(measurement of interoperability) — operationalizes Rec. 5 directly, hardest to argue against on principle.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A.2</w:t>
      </w:r>
      <w:r>
        <w:t xml:space="preserve"> </w:t>
      </w:r>
      <w:r>
        <w:t xml:space="preserve">(crosswalks) — small research investment, large national leverage, no political risk.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A.5</w:t>
      </w:r>
      <w:r>
        <w:t xml:space="preserve"> </w:t>
      </w:r>
      <w:r>
        <w:t xml:space="preserve">(provenance) — short timeline, small scope, enables auditability.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C.1</w:t>
      </w:r>
      <w:r>
        <w:t xml:space="preserve"> </w:t>
      </w:r>
      <w:r>
        <w:t xml:space="preserve">(multi-state closure/diversion) — most politically alignable across the state DOT seats on the committee.</w:t>
      </w:r>
    </w:p>
    <w:p>
      <w:pPr>
        <w:pStyle w:val="BodyText"/>
      </w:pPr>
      <w:r>
        <w:t xml:space="preserve">Politically delicate (be prepared to negotiate or trade):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F.1</w:t>
      </w:r>
      <w:r>
        <w:t xml:space="preserve"> </w:t>
      </w:r>
      <w:r>
        <w:t xml:space="preserve">(vendor evaluation) — commercial members (IIHS, ATRI, AAA Foundation) may resist; offer trade for F.2 if needed.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F.2</w:t>
      </w:r>
      <w:r>
        <w:t xml:space="preserve"> </w:t>
      </w:r>
      <w:r>
        <w:t xml:space="preserve">(TFHRC engagement downstream cost) — asks TRB to study FHWA’s own constraints; will need careful framing.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B.2 / B.3</w:t>
      </w:r>
      <w:r>
        <w:t xml:space="preserve"> </w:t>
      </w:r>
      <w:r>
        <w:t xml:space="preserve">(ground-truth, coverage gap) — may overlap with existing NPMRDS-adjacent work; be ready to differentiate.</w:t>
      </w:r>
    </w:p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2026-05-12T01:36:22Z</dcterms:created>
  <dcterms:modified xsi:type="dcterms:W3CDTF">2026-05-12T01:36:22Z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