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rPr>
          <w:rFonts w:ascii="Helvetica" w:hAnsi="Helvetica"/>
          <w:b/>
          <w:sz w:val="32"/>
        </w:rPr>
      </w:pPr>
      <w:r>
        <w:rPr>
          <w:rFonts w:ascii="Helvetica" w:hAnsi="Helvetica"/>
          <w:b/>
          <w:sz w:val="32"/>
        </w:rPr>
        <w:t>How the Iowa-led ATTAIN project works — I-35 and I-80</w:t>
      </w:r>
    </w:p>
    <w:p>
      <w:r>
        <w:drawing>
          <wp:inline distT="0" distB="0" distL="0" distR="0">
            <wp:extent cx="9144000" cy="7005483"/>
            <wp:docPr id="1" name="ATTAIN architecture diagram"/>
            <a:graphic>
              <a:graphicData uri="http://schemas.openxmlformats.org/drawingml/2006/picture">
                <pic:pic>
                  <pic:nvPicPr>
                    <pic:cNvPr id="1" name="diagram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70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