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Corridor Connect Texas Example Rider</w:t>
      </w:r>
    </w:p>
    <w:p>
      <w:r>
        <w:t>Attachment F example for a Texas state transportation agency</w:t>
      </w:r>
    </w:p>
    <w:p>
      <w:r>
        <w:t>This example shows a proposed Texas rider for a no-fee exchange of publicly releasable road-closure information and aggregated traffic counts. It is not an executed agency commitment or a state-approved mandatory form. Replace approval fields and attach the agency’s required provisions before execution. Protected data and automated control are outside this example scope.</w:t>
      </w:r>
    </w:p>
    <w:p>
      <w:r>
        <w:rPr>
          <w:b/>
        </w:rPr>
        <w:t xml:space="preserve">Identity </w:t>
      </w:r>
      <w:r>
        <w:t>Rider ID: CC-TX-EXAMPLE-001. Master: Corridor Connect Universal Data Sharing Agreement version 3, agreement ID [Complete]. Public entity: [Actual Texas state agency legal name]. Operator: [Actual legal entity and address]. Effective date: [After all required approvals and signatures].</w:t>
      </w:r>
    </w:p>
    <w:p>
      <w:r>
        <w:rPr>
          <w:b/>
        </w:rPr>
        <w:t xml:space="preserve">F1 Authority and approvals </w:t>
      </w:r>
      <w:r>
        <w:t>Agency counsel shall identify the actual enabling authority for both this interstate exchange and the operator relationship: [Statutes, scope and analysis]. Attach signature delegation, required contract-services/procurement, information-resources and other governmental approvals: [References]. Do not assume Government Code Chapter 771 or a generic contracting statute authorizes every interstate/private relationship.</w:t>
      </w:r>
    </w:p>
    <w:p>
      <w:r>
        <w:rPr>
          <w:b/>
        </w:rPr>
        <w:t xml:space="preserve">F2 Sovereignty and funds </w:t>
      </w:r>
      <w:r>
        <w:t>No term requires the Texas Participant to indemnify or defend another Party, guarantee future appropriations, insure another Party, waive immunity or consent to arbitration. Signature, participation and reciprocal access do not waive defenses. Existing statutory remedies remain as provided by law. Prospective performance remains subject to lawful authority and available funding under section 9.1. This example imposes no fee or funded-service purchase.</w:t>
      </w:r>
    </w:p>
    <w:p>
      <w:r>
        <w:rPr>
          <w:b/>
        </w:rPr>
        <w:t xml:space="preserve">Law and claims </w:t>
      </w:r>
      <w:r>
        <w:t>Texas law governs the Texas Participant’s obligations, subject to controlling federal law. A claim against it must proceed only through the remedy, venue and procedures legally applicable to that claim. Chapter 2260 applies only if its statutory contract and contractor requirements are met and no exclusion applies; it is not presumed applicable to a no-fee exchange. The rider creates no additional consent to suit, jurisdiction or immunity waiver. Counsel-approved venue/claims text: [Required].</w:t>
      </w:r>
    </w:p>
    <w:p>
      <w:r>
        <w:br w:type="page"/>
      </w:r>
    </w:p>
    <w:p>
      <w:pPr>
        <w:pStyle w:val="Heading1"/>
      </w:pPr>
      <w:r>
        <w:t>Texas records and data requirements</w:t>
      </w:r>
    </w:p>
    <w:p>
      <w:r>
        <w:rPr>
          <w:b/>
        </w:rPr>
        <w:t xml:space="preserve">F3 Public information </w:t>
      </w:r>
      <w:r>
        <w:t>The Texas Participant shall comply with Government Code Chapter 552. Labels and vendor objections cannot create an exception. Its authorized public-information officer or counsel determines the lawful response and uses any applicable attorney general decision and third-party procedures, including section 552.305. Provider consultation cannot extend statutory deadlines. The Operator shall supply responsive agency records, logs and metadata promptly in usable form and maintain applicable processor cooperation.</w:t>
      </w:r>
    </w:p>
    <w:p>
      <w:r>
        <w:rPr>
          <w:b/>
        </w:rPr>
        <w:t xml:space="preserve">Records contacts and timing </w:t>
      </w:r>
      <w:r>
        <w:t>Public-information officer and alternate: [Name/title, email, telephone and mailing address]. Secure Operator retrieval contact: [Complete]. Statutory response/notice procedures and internal retrieval time needed to meet them: [Counsel-approved requirements]. Required contractor-held records clauses: [Attach as applicable].</w:t>
      </w:r>
    </w:p>
    <w:p>
      <w:r>
        <w:rPr>
          <w:b/>
        </w:rPr>
        <w:t xml:space="preserve">Retention </w:t>
      </w:r>
      <w:r>
        <w:t>Use the agency’s certified records retention schedule and applicable TSLAC requirements. Record series and periods for raw data, outputs, agreement records, access logs and evidence: [Complete]. A pending request, investigation or legal hold overrides ordinary deletion where required. State who approves destruction and handles unlisted records: [Complete].</w:t>
      </w:r>
    </w:p>
    <w:p>
      <w:r>
        <w:rPr>
          <w:b/>
        </w:rPr>
        <w:t xml:space="preserve">Example classification and permission </w:t>
      </w:r>
      <w:r>
        <w:t>Proposed B schedule CC-TX-PUBLIC-001 covers only agency-approved public road-closure records and aggregated counts with no identifiable vehicle/device or person information. Classification: Public Data only after written agency release and rights review. Public license and attribution: [Exact text required]. No vendor data, raw crash reports, DMV information, precise individual trajectories, camera images, privileged material or protected safety-study records are authorized.</w:t>
      </w:r>
    </w:p>
    <w:p>
      <w:r>
        <w:rPr>
          <w:b/>
        </w:rPr>
        <w:t xml:space="preserve">Recipient eligibility and use </w:t>
      </w:r>
      <w:r>
        <w:t>Named Recipient or defined class: [Complete and verify authority]. Proposed permitted use: planning, coordination, analysis and approved traveler-information outputs. Actual permission must be entered in B. No raw API rehosting, commercial reuse, AI processing, model training or automated control unless separately and lawfully authorized. This rider grants no rights in another Provider’s data.</w:t>
      </w:r>
    </w:p>
    <w:p>
      <w:r>
        <w:br w:type="page"/>
      </w:r>
    </w:p>
    <w:p>
      <w:pPr>
        <w:pStyle w:val="Heading1"/>
      </w:pPr>
      <w:r>
        <w:t>Texas security procurement and execution</w:t>
      </w:r>
    </w:p>
    <w:p>
      <w:r>
        <w:rPr>
          <w:b/>
        </w:rPr>
        <w:t xml:space="preserve">F4 Security and reporting </w:t>
      </w:r>
      <w:r>
        <w:t>Before access, record agency-approved C controls, systems, processors, hosting and remote support locations. For a covered cloud service, record the agency’s TX-RAMP scope determination and required current product certification or accepted status; do not infer platform-wide approval. Apply the master’s 24-hour contractual incident notice or any earlier requirement. The agency retains independent statutory reports, including applicable DIR and attorney general notices. DIR currently identifies SPECTRIM as its state-agency incident route; confirm current route and required timing with the agency security officer.</w:t>
      </w:r>
    </w:p>
    <w:p>
      <w:r>
        <w:rPr>
          <w:b/>
        </w:rPr>
        <w:t xml:space="preserve">Security approval fields </w:t>
      </w:r>
      <w:r>
        <w:t>ISO and 24-hour route: [Complete]. System and C record: [Complete]. Approved locations/processors: [Complete]. TX-RAMP determination and product evidence: [Complete / documented out-of-scope reason]. State reporting requirements and routes: [Verified list].</w:t>
      </w:r>
    </w:p>
    <w:p>
      <w:r>
        <w:rPr>
          <w:b/>
        </w:rPr>
        <w:t xml:space="preserve">F5 Procurement and commercial terms </w:t>
      </w:r>
      <w:r>
        <w:t>No-fee membership is not authorization to procure paid hosting or services. Procurement office identifies applicable required agency clauses, technology/vendor restrictions, funding, audits and grants conditions: [References]. Private-party risk terms, insurance and limits: [Executed G or equivalent / documented not applicable]. Public-entity risk approval: [Reference].</w:t>
      </w:r>
    </w:p>
    <w:p>
      <w:r>
        <w:rPr>
          <w:b/>
        </w:rPr>
        <w:t xml:space="preserve">F6 Accessibility and automated use </w:t>
      </w:r>
      <w:r>
        <w:t>For hosted agency services and public outputs, identify applicable Texas and federal accessibility requirements, conformance evidence, testing, remediation and agency approval: [Complete]. AI and operational automation are prohibited for this example until a separately authorized B/I scope and operating procedure are approved. Agency operations remain under authorized human control.</w:t>
      </w:r>
    </w:p>
    <w:p>
      <w:r>
        <w:rPr>
          <w:b/>
        </w:rPr>
        <w:t xml:space="preserve">Conflict and readiness </w:t>
      </w:r>
      <w:r>
        <w:t>This rider supplements master sections 9.1 and 10.2 through 10.8 and has precedence for the Texas Participant as provided by section 10.8. It cannot bind another state or enlarge a source license. List additional exact deviations and accepted agency mandatory clauses: [None / attach]. Unresolved law, rights or rider conflicts block the affected exchange. Final preaccess decision and evidence: [Complete].</w:t>
      </w:r>
    </w:p>
    <w:p>
      <w:pPr>
        <w:keepNext/>
      </w:pPr>
      <w:r>
        <w:rPr>
          <w:b/>
        </w:rPr>
        <w:t xml:space="preserve">Texas Participant authorized signature </w:t>
      </w:r>
      <w:r/>
    </w:p>
    <w:p>
      <w:r>
        <w:t>Legal entity: [Complete]    Name and title: [Complete]</w:t>
      </w:r>
    </w:p>
    <w:p>
      <w:r>
        <w:t>Signature: _________________________________    Date: ______________</w:t>
      </w:r>
    </w:p>
    <w:p>
      <w:pPr>
        <w:keepNext/>
      </w:pPr>
      <w:r>
        <w:rPr>
          <w:b/>
        </w:rPr>
        <w:t xml:space="preserve">Operator authorized acceptance </w:t>
      </w:r>
      <w:r/>
    </w:p>
    <w:p>
      <w:r>
        <w:t>Legal entity: [Complete]    Name and title: [Complete]</w:t>
      </w:r>
    </w:p>
    <w:p>
      <w:r>
        <w:t>Signature: _________________________________    Date: ______________</w:t>
      </w:r>
    </w:p>
    <w:p>
      <w:r>
        <w:t>Agency counsel, security, procurement and risk approval references: [Complete]. Each affected Provider–Recipient relationship requires accepted and compatible riders and authorized schedule acceptance; this signature alone does not bind additional Providers or Recipients.</w:t>
      </w:r>
    </w:p>
    <w:p>
      <w:r>
        <w:br w:type="page"/>
      </w:r>
    </w:p>
    <w:p>
      <w:pPr>
        <w:pStyle w:val="Heading1"/>
      </w:pPr>
      <w:r>
        <w:t>Official sources and counsel completion notes</w:t>
      </w:r>
    </w:p>
    <w:p>
      <w:r>
        <w:t>Sources consulted October 12, 2026. These sources support the identified legal-review topics, not a conclusion that an unnamed agency is authorized or that this example meets every mandatory Texas term. Counsel must verify current law, governing decisions and agency forms.</w:t>
      </w:r>
    </w:p>
    <w:p>
      <w:hyperlink r:id="rId10">
        <w:r>
          <w:rPr>
            <w:rStyle w:val="Hyperlink"/>
          </w:rPr>
          <w:t>Texas Government Code Chapter 2260 contract claim definitions and immunity</w:t>
        </w:r>
      </w:hyperlink>
    </w:p>
    <w:p>
      <w:hyperlink r:id="rId11">
        <w:r>
          <w:rPr>
            <w:rStyle w:val="Hyperlink"/>
          </w:rPr>
          <w:t>Texas Attorney General public information third party procedures</w:t>
        </w:r>
      </w:hyperlink>
    </w:p>
    <w:p>
      <w:hyperlink r:id="rId12">
        <w:r>
          <w:rPr>
            <w:rStyle w:val="Hyperlink"/>
          </w:rPr>
          <w:t>Texas State Library certified agency retention schedules</w:t>
        </w:r>
      </w:hyperlink>
    </w:p>
    <w:p>
      <w:hyperlink r:id="rId13">
        <w:r>
          <w:rPr>
            <w:rStyle w:val="Hyperlink"/>
          </w:rPr>
          <w:t>Texas DIR TX RAMP eligibility and requirements</w:t>
        </w:r>
      </w:hyperlink>
    </w:p>
    <w:p>
      <w:hyperlink r:id="rId14">
        <w:r>
          <w:rPr>
            <w:rStyle w:val="Hyperlink"/>
          </w:rPr>
          <w:t>Texas DIR incident reporting routes</w:t>
        </w:r>
      </w:hyperlink>
    </w:p>
    <w:p>
      <w:hyperlink r:id="rId15">
        <w:r>
          <w:rPr>
            <w:rStyle w:val="Hyperlink"/>
          </w:rPr>
          <w:t>TxDOT contract requirements and approval policy</w:t>
        </w:r>
      </w:hyperlink>
    </w:p>
    <w:p>
      <w:r>
        <w:rPr>
          <w:b/>
        </w:rPr>
        <w:t xml:space="preserve">Complete before signing </w:t>
      </w:r>
      <w:r>
        <w:t>Actual legal entities; contracting and sharing authority; signature delegation; approvals and mandatory clauses; lawful forum/claims procedures; custodian and records periods; exact B rights and public license; security and hosting; procurement and risk terms; applicable accessibility evidence; and required affected-party acceptance.</w:t>
      </w:r>
    </w:p>
    <w:p>
      <w:r>
        <w:rPr>
          <w:b/>
        </w:rPr>
        <w:t xml:space="preserve">Use for another state </w:t>
      </w:r>
      <w:r>
        <w:t>Use the blank Attachment F from the forms pack and that entity’s own legal review. Replacing Texas with another state name does not produce an approved rider. Local governments, universities and authorities may need different terms even within Texas.</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Corridor Connect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line="240"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120" w:line="240" w:lineRule="auto"/>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imes New Roman" w:hAnsi="Times New Roman"/>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tcss.legis.texas.gov/resources/GV/htm/GV.2260.htm" TargetMode="External"/><Relationship Id="rId11" Type="http://schemas.openxmlformats.org/officeDocument/2006/relationships/hyperlink" Target="https://www.texasattorneygeneral.gov/open-government/governmental-bodies/responding-pia-request/third-party-information" TargetMode="External"/><Relationship Id="rId12" Type="http://schemas.openxmlformats.org/officeDocument/2006/relationships/hyperlink" Target="https://www.tsl.texas.gov/slrm/state/schedules" TargetMode="External"/><Relationship Id="rId13" Type="http://schemas.openxmlformats.org/officeDocument/2006/relationships/hyperlink" Target="https://dir.texas.gov/information-security/texas-risk-and-authorization-management-program-tx-ramp/tx-ramp-eligibility" TargetMode="External"/><Relationship Id="rId14" Type="http://schemas.openxmlformats.org/officeDocument/2006/relationships/hyperlink" Target="https://dir.texas.gov/information-security/cybersecurity-incident-management-and-reporting" TargetMode="External"/><Relationship Id="rId15" Type="http://schemas.openxmlformats.org/officeDocument/2006/relationships/hyperlink" Target="https://www.txdot.gov/manuals/csd/ncp/standards_for_contracts/contracting_requirements-i1007955.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Corridor Connect Texas Example Rider</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