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Corridor Connect Universal Data Sharing Agreement</w:t>
      </w:r>
    </w:p>
    <w:p>
      <w:r>
        <w:rPr/>
        <w:t>Master agreement for transportation data providers, recipients, and the Corridor Connect exchange operator</w:t>
      </w:r>
    </w:p>
    <w:p>
      <w:r>
        <w:t>Agreement number: [Complete]    Version: 3    Effective date: [Complete]</w:t>
      </w:r>
    </w:p>
    <w:p>
      <w:pPr>
        <w:pStyle w:val="Heading1"/>
      </w:pPr>
      <w:r>
        <w:t>1 Parties and purpose</w:t>
      </w:r>
    </w:p>
    <w:p>
      <w:r>
        <w:rPr/>
        <w:t>This Agreement is entered into by [full legal name and address of the Corridor Connect operating entity] (Operator) and [full legal name, entity type, jurisdiction, and address of the initial Participant] (Participant). Additional Participants become Parties by executing Attachment A accepted by the Operator. Corridor Connect is the exchange name and is not, by itself, a legal contracting entity. Each Party represents that its signatory has authority to bind it, subject to the public entity qualifications stated in its Attachment A.</w:t>
      </w:r>
    </w:p>
    <w:p>
      <w:r>
        <w:rPr/>
        <w:t>The Parties establish a reusable framework for lawful transportation data exchange, discovery, integration, quality assessment, and coordinated use across jurisdictions. Providers retain source authorship and control of their data rights. The Operator administers access and permissions; it does not acquire ownership of contributed data or authority to make operational decisions for a Participant.</w:t>
      </w:r>
    </w:p>
    <w:p>
      <w:r>
        <w:rPr>
          <w:b/>
        </w:rPr>
        <w:t xml:space="preserve">1.1 Scope. </w:t>
      </w:r>
      <w:r>
        <w:rPr/>
        <w:t>Eligible Participants include public transportation and emergency management agencies, local and regional governments, planning organizations, toll and port authorities, research institutions, private data providers, application developers, and approved contractors. Eligibility alone grants no right to any dataset. A Participant may be a Provider, Recipient, or both.</w:t>
      </w:r>
    </w:p>
    <w:p>
      <w:r>
        <w:rPr>
          <w:b/>
        </w:rPr>
        <w:t xml:space="preserve">1.2 Binding structure. </w:t>
      </w:r>
      <w:r>
        <w:t>This Agreement includes accepted Attachments A and F and applicable executed Attachments B through E and G. Accession creates an Operator–Participant contract only. A separate Provider–Recipient data authorization is formed when the Provider issues an approved Attachment B offer to a named Recipient or expressly defined eligible class, and that Recipient accepts the same version in writing through an official authorized to bind it. The Provider authorizes the Operator to record and communicate that acceptance, not to enlarge the offer. Each dataset contract incorporates this master and the accepted jurisdiction terms of both Parties. Incompatible terms must be resolved by signed addendum before access. No operational user, click-through, mere receipt of data, or governance vote binds a public entity. Direct enforcement is limited to obligations owed under the relevant formed contract and lawful available remedies. Other Participants incur no obligations merely because a new Participant joins.</w:t>
      </w:r>
    </w:p>
    <w:p>
      <w:pPr>
        <w:pStyle w:val="Heading1"/>
      </w:pPr>
      <w:r>
        <w:t>2 Definitions</w:t>
      </w:r>
    </w:p>
    <w:p>
      <w:r>
        <w:rPr/>
        <w:t>Shared Data means the data, metadata, records, imagery, geospatial information, operational information, and approved outputs identified in Attachment B. Provider means a Party authorized to disclose Shared Data and grant the stated rights. Recipient means a Party receiving or accessing Shared Data. Authorized Users are personnel and systems permitted under Sections 4 and 5. Controlled Data means Shared Data classified as Participant or Restricted under Section 3. Derived Output means a transformation, visualization, statistic, inference, or other product created using Shared Data. Vendor Portal means a proprietary analytics tool or hosted interface distinct from its data and exported outputs.</w:t>
      </w:r>
    </w:p>
    <w:p>
      <w:r>
        <w:rPr/>
        <w:t>Personal Information means information identifying, reasonably capable of identifying, or linkable to an individual, household, or identifiable vehicle or device, including precise movement histories where they permit such identification. Security Incident means an actual or reasonably suspected compromise of Shared Data or systems handling it, including unauthorized access, use, disclosure, alteration, loss, or destruction. Applicable Law means law binding on the relevant Party and activity, including records, privacy, security, retention, and procurement requirements.</w:t>
      </w:r>
    </w:p>
    <w:p>
      <w:pPr>
        <w:pStyle w:val="Heading1"/>
      </w:pPr>
      <w:r>
        <w:t>3 Dataset approval and data rights</w:t>
      </w:r>
    </w:p>
    <w:p>
      <w:r>
        <w:rPr>
          <w:b/>
        </w:rPr>
        <w:t xml:space="preserve">3.1 Approval before access. </w:t>
      </w:r>
      <w:r>
        <w:rPr/>
        <w:t>No data shall be onboarded or used without a completed Attachment B approved by the Provider and Operator and accepted by each eligible Recipient. An identified class of Recipients may be approved in advance only if the Provider has authority to grant that class access. The Operator shall verify eligibility and maintain an auditable rights register linking each dataset, source contract, approval, Recipient, permitted use, and expiration date.</w:t>
      </w:r>
    </w:p>
    <w:p>
      <w:r>
        <w:rPr>
          <w:b/>
        </w:rPr>
        <w:t xml:space="preserve">3.2 Classifications. </w:t>
      </w:r>
      <w:r>
        <w:t>Public Data is affirmatively approved for public release under the license stated in Attachment B. Participant Data is available only to designated eligible Participants under contractual permissions. Restricted Data is available only to specifically approved Recipients, users, systems, and purposes, with additional safeguards. These are exchange access labels, not legal classifications. Attachment B must map them to the Provider’s and Recipient’s statutory classifications and specify lawful disclosure and handling. Public records access does not itself grant an open intellectual property license or authorize bulk dissemination of protected information. Uncertain or conflicting classifications require withholding exchange access pending resolution, without obstructing lawful records access.</w:t>
      </w:r>
    </w:p>
    <w:p>
      <w:r>
        <w:rPr>
          <w:b/>
        </w:rPr>
        <w:t xml:space="preserve">3.3 Public data baseline. </w:t>
      </w:r>
      <w:r>
        <w:t>Personal Information and nonpublic sensitive information are excluded unless an addendum signed by the Provider, Operator, and affected Recipient identifies a lawful disclosure and use basis for each, necessity, minimum fields, processing instructions, purpose limits, privacy safeguards, retention, data subject rights where applicable, and required regulatory terms. Provider consent alone does not establish legal authority. DMV-sourced personal information requires compliance with 18 U.S.C. §§ 2721–2725, including a specific permissible use and applicable redisclosure and recordkeeping restrictions. Safety-study records potentially protected under 23 U.S.C. § 407, privileged material, protected critical infrastructure information, protected health information, criminal justice information, and other specially protected records are excluded pending counsel’s written clearance and necessary specialist terms. A discovery protection is not automatically a public records exemption.</w:t>
      </w:r>
    </w:p>
    <w:p>
      <w:r>
        <w:rPr>
          <w:b/>
        </w:rPr>
        <w:t xml:space="preserve">3.4 Provider assurances. </w:t>
      </w:r>
      <w:r>
        <w:t>For each contribution, the Provider represents after reasonable inquiry that it owns the relevant rights, has documented rights-holder permission, or may lawfully share under the identified public or open license; that it may grant the stated rights; and that it has disclosed known material restrictions and Personal Information. These assurances concern authority and classification, not factual accuracy or a promise that no undiscovered defect exists. For a public Provider, they are official certifications within its lawful authority, not an indemnity or enlargement of statutory liability. A Provider shall promptly report a loss, change, expiration, or dispute affecting authority. Each Recipient separately verifies its legal authority to receive and use the data.</w:t>
      </w:r>
    </w:p>
    <w:p>
      <w:r>
        <w:rPr>
          <w:b/>
        </w:rPr>
        <w:t xml:space="preserve">3.5 Third party and procured data. </w:t>
      </w:r>
      <w:r>
        <w:rPr/>
        <w:t>A Participant’s purchase, subscription, or membership does not automatically permit exchange-wide access. Vendor data requires the rights holder’s signed consent, either in Attachment B or an identified existing agreement that expressly authorizes the proposed sharing. The Operator shall verify the consent and any downstream conditions. Vendor contracts and procurements remain with the procuring Participants unless a separate agreement expressly provides otherwise. This Agreement does not expand, transfer, or supersede an existing vendor license without that rights holder’s express consent.</w:t>
      </w:r>
    </w:p>
    <w:p>
      <w:r>
        <w:rPr>
          <w:b/>
        </w:rPr>
        <w:t xml:space="preserve">3.6 License. </w:t>
      </w:r>
      <w:r>
        <w:rPr/>
        <w:t>Subject to Attachment B, each Provider grants a nonexclusive license during the authorized use period to access, reproduce, securely store, normalize, analyze, combine where permitted, create approved Derived Outputs, distribute to approved Recipients, and archive Shared Data solely for the approved purposes. Geography, historical access, fees, redistribution, public release, AI processing, and post-delivery rights are governed by Attachment B. Blank permission fields grant no permission. No implied sublicense, ownership transfer, or right to other datasets is granted.</w:t>
      </w:r>
    </w:p>
    <w:p>
      <w:r>
        <w:rPr>
          <w:b/>
        </w:rPr>
        <w:t xml:space="preserve">3.7 Existing independent rights. </w:t>
      </w:r>
      <w:r>
        <w:rPr/>
        <w:t>Rights obtained independently under an open license or separate valid agreement are unaffected. The Operator shall keep those rights distinguishable from permissions granted here. Nothing restricts a Party’s independently acquired data or independently developed tools.</w:t>
      </w:r>
    </w:p>
    <w:p>
      <w:r>
        <w:rPr>
          <w:b/>
        </w:rPr>
        <w:t xml:space="preserve">3.8 Inadvertent protected data. </w:t>
      </w:r>
      <w:r>
        <w:t>If unapproved Personal Information, secrets, privileged or regulated material is found, restrict access immediately, cease unapproved processing, notify the Provider and Operator under the incident procedure as applicable, and obtain counsel-directed handling instructions. Do not copy the material into issue tickets, public AI tools, or general logs. Preserve only what law and incident investigation require. Public availability or receipt in error does not by itself authorize unrestricted reuse.</w:t>
      </w:r>
    </w:p>
    <w:p>
      <w:pPr>
        <w:pStyle w:val="Heading1"/>
      </w:pPr>
      <w:r>
        <w:t>4 Permitted use and publication</w:t>
      </w:r>
    </w:p>
    <w:p>
      <w:r>
        <w:rPr>
          <w:b/>
        </w:rPr>
        <w:t xml:space="preserve">4.1 Purposes. </w:t>
      </w:r>
      <w:r>
        <w:rPr/>
        <w:t>Attachment B may authorize traffic operations, incident response, public safety, traveler information, corridor coordination, planning, asset management, freight and parking coordination, weather and winter operations, performance measurement, research, quality assurance, and grant reporting. Commercial application use, turn-by-turn navigation, automated vehicle use, and law enforcement or investigative use require affirmative authorization when relying on rights granted by this Agreement.</w:t>
      </w:r>
    </w:p>
    <w:p>
      <w:r>
        <w:rPr>
          <w:b/>
        </w:rPr>
        <w:t xml:space="preserve">4.2 Public outputs. </w:t>
      </w:r>
      <w:r>
        <w:rPr/>
        <w:t>Publicly licensed data may be released consistent with its stated license. Controlled Data may be presented publicly only as expressly approved outputs, such as aggregated statistics, maps, traveler advisories, or crossing status. A Derived Output does not become public merely because it is transformed. It must not expose restricted inputs, reconstruct a commercially substitutable dataset, reveal protected movements, or enable identification contrary to its authorization. Public safety dissemination must follow an express permission in Attachment B or a legal disclosure duty; it is not a blanket override of privacy or vendor restrictions.</w:t>
      </w:r>
    </w:p>
    <w:p>
      <w:r>
        <w:rPr>
          <w:b/>
        </w:rPr>
        <w:t xml:space="preserve">4.3 Restricted acts. </w:t>
      </w:r>
      <w:r>
        <w:rPr/>
        <w:t>Except where separately authorized by an independently applicable license or express Attachment B permission, a Recipient shall not sell, sublicense, transfer, rehost an API, distribute raw Controlled Data or substantial substitutes, or use it outside the approved purpose. A Recipient shall not circumvent access controls, remove required notices, introduce malicious code, or knowingly impair exchange services. No Party shall attempt reidentification of deidentified data or combine it with identifying data to identify people or track individual movements.</w:t>
      </w:r>
    </w:p>
    <w:p>
      <w:r>
        <w:rPr>
          <w:b/>
        </w:rPr>
        <w:t xml:space="preserve">4.4 Ownership and notices. </w:t>
      </w:r>
      <w:r>
        <w:rPr/>
        <w:t>Source ownership and authorship remain with the Provider or underlying rights holder, including when the Operator hosts a feed on the Provider’s behalf. Each creator owns its original contributions to Derived Outputs to the extent legally protectable, subject to all underlying rights and continuing restrictions; joint ownership is not presumed. The Operator’s software, normalization, and metadata do not erase source rights. Preserve source attribution, license notices, use restrictions, and transformation labels in copies and outputs where required. No license to a Party’s name, logo, patents, or software is implied.</w:t>
      </w:r>
    </w:p>
    <w:p>
      <w:r>
        <w:rPr>
          <w:b/>
        </w:rPr>
        <w:t xml:space="preserve">4.5 Mixed sources. </w:t>
      </w:r>
      <w:r>
        <w:rPr/>
        <w:t>The Operator and Recipients shall preserve rights lineage for mixed datasets and Derived Outputs. Distribution must comply with each input’s applicable restrictions. If incompatible rights cannot be separated, do not publish or grant broader access. Permissions for a nonsensitive output derived from a restricted input must be expressly recorded, including any aggregation, geographic, temporal, or redaction thresholds.</w:t>
      </w:r>
    </w:p>
    <w:p>
      <w:r>
        <w:rPr>
          <w:b/>
        </w:rPr>
        <w:t xml:space="preserve">4.6 Confidentiality and privacy. </w:t>
      </w:r>
      <w:r>
        <w:t>Use Controlled Data only within approved purposes; disclose it only to authorized persons under equivalent duties, subject to lawful disclosure. Protect security information and credentials even when the underlying dataset is public. Before sensitive geolocation, camera imagery, vehicle or device identifiers, or precise trajectories are processed, assess identifiability, combinations and reconstruction risks and record approved minimization and output thresholds. Hashing alone is not proof of deidentification. Prohibit targeted advertising, profiling of individuals, sale of Personal Information and surveillance use absent a separate legally authorized addendum. A public agency may not license away rights held by an individual or a third party.</w:t>
      </w:r>
    </w:p>
    <w:p>
      <w:pPr>
        <w:pStyle w:val="Heading1"/>
      </w:pPr>
      <w:r>
        <w:t>5 Users contractors and vendor portals</w:t>
      </w:r>
    </w:p>
    <w:p>
      <w:r>
        <w:rPr>
          <w:b/>
        </w:rPr>
        <w:t xml:space="preserve">5.1 Access. </w:t>
      </w:r>
      <w:r>
        <w:t>Controlled access is limited to eligible personnel and approved service identities with documented need. Each Party shall bind contractors and processors to enforceable equivalent obligations, train personnel, manage credentials, and revoke access promptly when duties end. Employees act under applicable law, employment duties, and agency policies; individual employee signatures are not a substitute for entity authorization. Contractors must complete Attachment E and either accede as Parties or execute an approved direct undertaking enforceable by the Sponsor and affected Provider. Sponsors oversee their contractors; the Operator oversees its processors. The contracting Party remains responsible for performance of delegated obligations within applicable law, notwithstanding approval of a processor. Governmental records and statutory oversight duties shall flow down as required by Attachment F.</w:t>
      </w:r>
    </w:p>
    <w:p>
      <w:r>
        <w:rPr>
          <w:b/>
        </w:rPr>
        <w:t xml:space="preserve">5.2 Portals. </w:t>
      </w:r>
      <w:r>
        <w:rPr/>
        <w:t>Dataset access does not grant Vendor Portal access. Attachment B must specify named user eligibility, seats, subscription dates, subjurisdiction access, geographic scope of analyses, export rights, and applicable portal terms. Portal credentials shall not be shared. No right to reverse engineer proprietary software, operate a service bureau, or use portal outputs for navigation or vehicle control is implied. Exported outputs remain subject to their separate approved data rights.</w:t>
      </w:r>
    </w:p>
    <w:p>
      <w:pPr>
        <w:pStyle w:val="Heading1"/>
      </w:pPr>
      <w:r>
        <w:t>6 Exchange operations and source authority</w:t>
      </w:r>
    </w:p>
    <w:p>
      <w:r>
        <w:rPr>
          <w:b/>
        </w:rPr>
        <w:t xml:space="preserve">6.1 Provider responsibilities. </w:t>
      </w:r>
      <w:r>
        <w:rPr/>
        <w:t>Providers shall supply the agreed data dictionary, metadata, source identifier, timestamps, coverage, update expectations, known quality limitations, and contact roles. They shall use reasonable efforts to flag material changes and known errors. Planned breaking interface changes should be announced at least 30 days in advance where feasible. Material access or quality issues shall be reported to affected Parties within one business day of awareness, and immediately when reasonably necessary for urgent safety action.</w:t>
      </w:r>
    </w:p>
    <w:p>
      <w:r>
        <w:rPr>
          <w:b/>
        </w:rPr>
        <w:t xml:space="preserve">6.2 Operator responsibilities. </w:t>
      </w:r>
      <w:r>
        <w:rPr/>
        <w:t>The Operator shall maintain the dataset catalog, access register, rights lineage, approved processing rules, interface documentation, and audit records. It shall respect source request budgets and license limits; label unavailable, stale, and unevaluable data; and prevent data exceeding agreed freshness limits from being presented as current operational information. Service levels, support coverage, export formats, and response targets must be stated in Attachment B or a separately signed service agreement. No continuous availability or minimum recovery time is otherwise promised.</w:t>
      </w:r>
    </w:p>
    <w:p>
      <w:r>
        <w:rPr>
          <w:b/>
        </w:rPr>
        <w:t xml:space="preserve">6.3 Normalization and evidence. </w:t>
      </w:r>
      <w:r>
        <w:rPr/>
        <w:t>The Operator may normalize structure only within approved rights. It shall preserve original values and lineage while authorized to retain them, distinguish observation from inference, identify material transformations, and not manufacture missing facts. Stable exchange identifiers shall be mapped to source identifiers with lifecycle changes recorded. Normalization and enrichment shall not silently replace an authoritative source record or transfer authorship.</w:t>
      </w:r>
    </w:p>
    <w:p>
      <w:r>
        <w:rPr>
          <w:b/>
        </w:rPr>
        <w:t xml:space="preserve">6.4 Quality findings. </w:t>
      </w:r>
      <w:r>
        <w:t>Evidence is additive to the Provider’s record and does not transfer source authority. Technical checks shall distinguish PASS, FAIL, and NOT EVALUATED, identify method and reason, and treat absent evidence separately from failed checks. The Operator shall prominently label, correct, retract, or suspend its own materially misleading, unsafe, unauthorized, or unsupported output promptly; it need not await a Provider’s consent to protect its distribution surface. Preserve the original record and audit trail only while authorized, and notify affected Providers and operational Recipients. Evidence must identify source, observation time, independence limitations, uncertainty, and freshness. Comparisons must disclose methodology and coverage and account for network size, instrumentation and feed maturity. Public benchmarking requires Attachment B permission, except lawful public records disclosure.</w:t>
      </w:r>
    </w:p>
    <w:p>
      <w:r>
        <w:rPr>
          <w:b/>
        </w:rPr>
        <w:t xml:space="preserve">6.5 Correction loop. </w:t>
      </w:r>
      <w:r>
        <w:t>Findings shall identify reproducible records, reasons, remedies, owners, and finding identifiers. The process is detect, diagnose, route, Provider action, and reverify using the same identifier. Only the Provider may authorize changes to its source system. The Operator may quarantine an output or publish a separately labeled correction to its own processing under approved rules. Unaccepted repairs remain proposals. Evidence shall be reassessed when stale, disproven, superseded, or associated with an ended event; no policy of accumulated corroboration requires retention or display of a known misleading assertion. Notify recipients of material corrections or withdrawals and record whether they were delivered.</w:t>
      </w:r>
    </w:p>
    <w:p>
      <w:pPr>
        <w:pStyle w:val="Heading1"/>
      </w:pPr>
      <w:r>
        <w:t>7 Security incidents and AI</w:t>
      </w:r>
    </w:p>
    <w:p>
      <w:r>
        <w:rPr>
          <w:b/>
        </w:rPr>
        <w:t xml:space="preserve">7.1 Safeguards. </w:t>
      </w:r>
      <w:r>
        <w:rPr/>
        <w:t>Each Party is responsible for its systems and personnel and shall implement Attachment C and the dataset-specific controls. The Operator shall enforce logical separation and permissions across Participants. Compliance claims and certifications shall be evidenced rather than presumed.</w:t>
      </w:r>
    </w:p>
    <w:p>
      <w:r>
        <w:rPr>
          <w:b/>
        </w:rPr>
        <w:t xml:space="preserve">7.2 Incident notice. </w:t>
      </w:r>
      <w:r>
        <w:t>A Party discovering an actual or reasonably suspected Security Incident affecting Shared Data shall notify the Operator and affected Providers and Recipients without unreasonable delay and within 24 hours of discovery, or earlier under law, policy identified in Attachment F, or Attachment B. Use the 24 hour security route and escalate by telephone or another recorded channel if email is unacknowledged; ordinary legal notice requirements shall not delay incident notification. Do not wait for completed investigation. State known occurrence and discovery times, systems, datasets, recipients, impact, containment, evidence preservation, and a response contact. Give material updates at least daily during active containment unless affected Parties agree otherwise, and a written closure and corrective-action report when practicable. Each Party retains independent legal and regulator notification duties; no approval may delay them. Allocate reasonable response costs by responsibility under Section 10, not automatically to a state.</w:t>
      </w:r>
    </w:p>
    <w:p>
      <w:r>
        <w:rPr>
          <w:b/>
        </w:rPr>
        <w:t xml:space="preserve">7.3 AI and automation. </w:t>
      </w:r>
      <w:r>
        <w:rPr/>
        <w:t>Disclose AI processing used to create or transform a contributed dataset. New AI inference, external model processing, training, fine-tuning, embeddings, or retention in models requires the specific authorization in Attachment B and any required addendum. Controlled Data shall not enter public AI services or services that retain it for their own purposes without express rights-holder consent. Automated alerts, routing actions, sign messages, or control functions require separately approved operating procedures, responsible human authority, activation logs, and defined review and shutdown mechanisms. Data access alone grants no control authority.</w:t>
      </w:r>
    </w:p>
    <w:p>
      <w:r>
        <w:rPr>
          <w:b/>
        </w:rPr>
        <w:t xml:space="preserve">7.4 Accessible services. </w:t>
      </w:r>
      <w:r>
        <w:t>When the Operator supplies web interfaces, mobile applications, public outputs or services on behalf of a public entity, it shall meet that entity’s applicable accessibility obligations and the technical requirements recorded in Attachment F. Provide conformance evidence, accessible export formats, testing and a documented remediation process. A contract or third-party platform does not remove an agency’s obligations. Procurement or hosted-service terms must allocate remediation and support; statutory exceptions shall not be presumed.</w:t>
      </w:r>
    </w:p>
    <w:p>
      <w:pPr>
        <w:pStyle w:val="Heading1"/>
      </w:pPr>
      <w:r>
        <w:t>8 Records retention and exit</w:t>
      </w:r>
    </w:p>
    <w:p>
      <w:r>
        <w:rPr>
          <w:b/>
        </w:rPr>
        <w:t xml:space="preserve">8.1 Lawful disclosure. </w:t>
      </w:r>
      <w:r>
        <w:t>Each Party shall comply with the public records, subpoena, discovery, preservation and disclosure laws applicable to it. Contract labels, nondisclosure terms, or a Provider’s objection cannot create an exemption. The public custodian or other legally authorized decision maker determines disclosure. Unless prohibited, notify affected Providers and the Operator in time for applicable statutory procedures, seek their specific legal grounds for protection, segregate exempt portions, and release the remainder as required. No consent or contractual review period may delay a lawful deadline or order. A Party has no duty to litigate, appeal, seek an exemption, or pay another Party’s legal costs without separately authorized agreement. The Operator and its contractors shall promptly search, preserve, export and provide records within their control relating to agency work, including metadata and logs as legally required, in a usable format and time sufficient for the agency’s deadline. Do not direct requesters away from an entity legally obliged to respond. Attachment F identifies custodians and mandatory contractor clauses.</w:t>
      </w:r>
    </w:p>
    <w:p>
      <w:r>
        <w:rPr>
          <w:b/>
        </w:rPr>
        <w:t xml:space="preserve">8.2 Retention. </w:t>
      </w:r>
      <w:r>
        <w:t>Attachment B shall distinguish delivery duration from use rights for received data and identify retention for raw data, outputs, logs and backups. Applicable records schedules, pending records requests, audits, investigations, preservation duties and litigation holds override a contractual deletion deadline to the extent legally required. The responsible agency determines its records obligations; the Operator shall assist. Retained copies remain protected and limited to authorized surviving uses or those required by law. Do not promise a destruction date inconsistent with a source license or records duty; resolve the conflict before onboarding. The Operator shall not retain agency records as security for payment or assert a lien over them.</w:t>
      </w:r>
    </w:p>
    <w:p>
      <w:r>
        <w:rPr>
          <w:b/>
        </w:rPr>
        <w:t xml:space="preserve">8.3 Withdrawal and removal. </w:t>
      </w:r>
      <w:r>
        <w:rPr/>
        <w:t>A Provider may end future sharing of its dataset on 30 days’ notice unless Attachment B specifies a different period. It may request immediate suspension where continued sharing lacks lawful authority or creates a material security risk. These actions do not revoke independently applicable open licenses or expressly granted irrevocable rights. The Operator shall notify affected Recipients, stop the affected access, and propagate required restrictions or deletion requests through the rights register.</w:t>
      </w:r>
    </w:p>
    <w:p>
      <w:r>
        <w:rPr>
          <w:b/>
        </w:rPr>
        <w:t xml:space="preserve">8.4 Return and destruction. </w:t>
      </w:r>
      <w:r>
        <w:rPr/>
        <w:t>At the end of an authorization, a Recipient and the Operator shall return or securely delete affected data and restricted Derived Outputs within 30 days, unless Attachment B requires otherwise. Certify completion and identify legally required retained copies and backup expiry dates. Inaccessible backups may remain until their documented rotation, no longer than 90 days absent an approved exception or legal duty, and shall not be restored for use; if restored for recovery, deletion shall be reapplied. Compliant public outputs and nonreconstructive outputs may remain only under an expressly surviving permission or independent lawful right.</w:t>
      </w:r>
    </w:p>
    <w:p>
      <w:r>
        <w:rPr>
          <w:b/>
        </w:rPr>
        <w:t xml:space="preserve">8.5 Portability. </w:t>
      </w:r>
      <w:r>
        <w:t>On request before exit and for 30 days after it, the Operator shall offer the departing Provider a usable export of its contributed data and associated mappings, metadata and agency records, subject to lawful retention and third-party rights. Supply documented schemas and reasonable transition assistance. Attachment B must state delivery timing and any separately approved charge; no unapproved exit fee or charge for meeting a legal records duty may be imposed. Do not require continued membership or release of claims to obtain the export. Exit does not grant access to another Party’s restricted information or proprietary software. Operator transition requires affected Parties’ written approval and continued protection throughout transfer.</w:t>
      </w:r>
    </w:p>
    <w:p>
      <w:pPr>
        <w:pStyle w:val="Heading1"/>
      </w:pPr>
      <w:r>
        <w:t>9 Term suspension and termination</w:t>
      </w:r>
    </w:p>
    <w:p>
      <w:r>
        <w:rPr>
          <w:b/>
        </w:rPr>
        <w:t xml:space="preserve">9.1 Term. </w:t>
      </w:r>
      <w:r>
        <w:t>The initial Agreement takes effect only after required signatures and governmental approvals and continues for five years unless an expressly shorter term applies. Later accession is effective upon required Participant approvals and Operator acceptance and ends with the then-current master term unless shorter. No automatic renewal is created. A public Participant’s future obligations are subject to lawful authority and available appropriations; it may suspend or terminate affected prospective performance upon loss of legal authority or funding without early termination penalty, giving prompt notice and reasonable lawful transition assistance. This does not extinguish an already lawful accrued obligation. Delivery and data use periods shall be stated separately in Attachment B.</w:t>
      </w:r>
    </w:p>
    <w:p>
      <w:r>
        <w:rPr>
          <w:b/>
        </w:rPr>
        <w:t xml:space="preserve">9.2 Termination. </w:t>
      </w:r>
      <w:r>
        <w:rPr/>
        <w:t>A Participant may withdraw on 30 days’ written notice to the Operator. The Operator or affected Provider may terminate the relevant relationship or dataset authorization for a material breach not cured within 30 days after notice. Immediate protective suspension is permitted for unlawful use, compromised credentials, expired rights, or a material security threat; promptly state its reason and scope and restore access when resolved. Immediate termination is permitted for an incurable material breach. An unrelated Participant’s access shall not be terminated solely because another Participant breaches.</w:t>
      </w:r>
    </w:p>
    <w:p>
      <w:r>
        <w:rPr>
          <w:b/>
        </w:rPr>
        <w:t xml:space="preserve">9.3 Survival. </w:t>
      </w:r>
      <w:r>
        <w:rPr/>
        <w:t>Accrued obligations, ownership, use restrictions on retained data, surviving licenses, lawful disclosure, security for retained data, destruction, liability, and dispute provisions survive as necessary to give them effect. Termination is not a release of accrued claims.</w:t>
      </w:r>
    </w:p>
    <w:p>
      <w:pPr>
        <w:pStyle w:val="Heading1"/>
      </w:pPr>
      <w:r>
        <w:t>10 Responsibility and general terms</w:t>
      </w:r>
    </w:p>
    <w:p>
      <w:r>
        <w:rPr>
          <w:b/>
        </w:rPr>
        <w:t xml:space="preserve">10.1 Data warranty. </w:t>
      </w:r>
      <w:r>
        <w:rPr/>
        <w:t>Except for the express assurances concerning authority, classification, and compliance, Shared Data and outputs are provided as is. To the extent permitted by law, no Party warrants completeness, accuracy, uninterrupted availability, merchantability, or fitness for a particular purpose. Recipients shall assess suitability for their use. This disclaimer does not excuse express security, access, or processing obligations. Operational users retain responsibility for decisions and must not treat the exchange as a substitute for required field verification.</w:t>
      </w:r>
    </w:p>
    <w:p>
      <w:r>
        <w:rPr>
          <w:b/>
        </w:rPr>
        <w:t xml:space="preserve">10.2 Responsibility. </w:t>
      </w:r>
      <w:r>
        <w:t>Each Party is responsible for its own breach and those acting on its behalf to the extent provided by law; there is no joint liability merely through participation. This Agreement imposes no contractual indemnity, defense duty, insurance obligation, damages waiver, or expanded liability on a public entity. No Party waives lawful damage categories or receives a zero-dollar or fees-paid liability cap through this master. Any negotiated commercial cap or damage exclusion must be expressly signed in Attachment G and accepted by each affected public entity’s authorized legal reviewer. It shall not limit legally nonexcludable liability, fraud, willful misconduct, gross negligence, infringement indemnity, unauthorized use or disclosure, privacy or security breaches, or reasonable incident response, records recovery and restoration costs caused by the liable Party, unless a separately identified and lawfully approved exception expressly states otherwise. No contract provision restricts an attorney general’s, regulator’s, auditor’s, or data subject’s powers or independent rights.</w:t>
      </w:r>
    </w:p>
    <w:p>
      <w:r>
        <w:rPr>
          <w:b/>
        </w:rPr>
        <w:t xml:space="preserve">10.3 Commercial risk terms. </w:t>
      </w:r>
      <w:r>
        <w:t>Before a private Operator handles agency Controlled Data, execute Attachment G establishing indemnity, insurance or approved financial assurance, claim handling, and any limits. A private Provider of Controlled Data shall execute its applicable rights and infringement terms in Attachment G unless equivalent terms are expressly identified in an existing contract and cover the affected recipients. Public entity Providers do not undertake these commercial duties. No state purchases or guarantees insurance for another Party, and no existing procurement indemnity is waived. Required risk terms cannot be left to a portal click-through or a later negotiation after controlled access begins.</w:t>
      </w:r>
    </w:p>
    <w:p>
      <w:r>
        <w:rPr>
          <w:b/>
        </w:rPr>
        <w:t xml:space="preserve">10.4 Public entities. </w:t>
      </w:r>
      <w:r>
        <w:t>Nothing waives sovereign or governmental immunity, jurisdictional objections, statutory defenses, limits on liability, constitutional rights, or appropriation restrictions; creates consent to suit, foreign venue, arbitration, or an equitable remedy against a public entity; or undertakes an obligation beyond lawful authority. No waiver is inferred from a signature, performance, disclosure, reciprocal access, or forum field. Existing statutory waivers and otherwise applicable legal remedies are neither expanded nor eliminated. Attachment F is mandatory for each public entity and records its authorized terms and approvals. No individual official undertakes personal liability. An attorney general’s or other authorized state counsel’s litigation and settlement authority is reserved.</w:t>
      </w:r>
    </w:p>
    <w:p>
      <w:r>
        <w:rPr>
          <w:b/>
        </w:rPr>
        <w:t xml:space="preserve">10.5 Disputes and law. </w:t>
      </w:r>
      <w:r>
        <w:t>Stewards shall attempt resolution, followed by governance leads and authorized executives. Good-faith negotiation for 30 days is encouraged but is not a condition precedent to statutory remedies, urgent lawful protection, or preserving a claim. Negotiation does not toll limitations or claim-notice periods. Complete law and forum fields in Attachments A, B and F, including mandatory courts or claims tribunals and claims procedures. A forum designation does not waive immunity or establish jurisdiction; state-specific mandatory requirements govern for that public entity. Incompatible requirements require counsel-approved resolution before exchange. No binding arbitration, compulsory mediation expense, attorney fee shifting, shortened statutory claim period, or jury-trial waiver is created here.</w:t>
      </w:r>
    </w:p>
    <w:p>
      <w:r>
        <w:rPr>
          <w:b/>
        </w:rPr>
        <w:t xml:space="preserve">10.6 Costs and relationship. </w:t>
      </w:r>
      <w:r>
        <w:t>Each Party bears its own ordinary costs unless a separately signed, lawfully funded agreement states otherwise. No data purchase, membership fee, appropriation, automatic renewal charge, exclusivity, partnership, employment, agency, joint venture, or procurement authority is created. A governance group may coordinate but cannot tax, regulate, exercise police powers, compel contributions, bind procurement, or command an agency’s operations. The Parties do not intend to create an interstate governmental body or delegate sovereign powers; any proposed structural change requires separate legal review of enabling authority and any compact requirements. Contract consideration consists of the lawfully authorized reciprocal commitments and permissions; access or contribution quantities are not guaranteed.</w:t>
      </w:r>
    </w:p>
    <w:p>
      <w:r>
        <w:rPr>
          <w:b/>
        </w:rPr>
        <w:t xml:space="preserve">10.7 Notices. </w:t>
      </w:r>
      <w:r>
        <w:rPr/>
        <w:t>Formal notices go to the legal notice contacts in Attachment A by confirmed email, personal delivery, or tracked mail and take effect upon documented receipt. Security and operational notices use the designated contacts and shall be confirmed in writing. Contact changes may be made by written notice without amendment.</w:t>
      </w:r>
    </w:p>
    <w:p>
      <w:r>
        <w:rPr>
          <w:b/>
        </w:rPr>
        <w:t xml:space="preserve">10.8 Changes and precedence. </w:t>
      </w:r>
      <w:r>
        <w:t>Mandatory law governs. Each accepted Attachment F and applicable mandatory state contract terms control for that public entity to the extent identified and lawfully applicable. Next are expressly signed deviation addenda, this master, approved dataset schedules, and operational attachments. A rider cannot enlarge rights in another Party’s data; incompatible state or license terms require written resolution or no affected exchange. Existing source contracts remain in force and are not superseded absent the rights holder’s explicit amendment. Master or rights changes require authorized written acceptance by each affected contracting Party, not an operational user or majority vote. Routine contacts and technical details may be updated by recorded delegated authority without altering rights, cost or legal obligations. Changes legally required for a state’s own conduct apply by law; notify affected Parties and suspend incompatible processing pending a lawful solution. No unilateral policy or click-through changes the contract.</w:t>
      </w:r>
    </w:p>
    <w:p>
      <w:r>
        <w:rPr>
          <w:b/>
        </w:rPr>
        <w:t xml:space="preserve">10.9 Other terms. </w:t>
      </w:r>
      <w:r>
        <w:rPr/>
        <w:t>No assignment or substitution of the Operator without affected Parties’ written consent, except as expressly approved in an addendum. The Agreement is the entire agreement for its stated scope and does not supersede unrelated agreements. Waivers must be written by the waiving Party; invalid provisions are severable to the extent lawful. No rights are created for persons outside the Parties. Counterparts and electronic signatures are accepted to the extent permitted by law.</w:t>
      </w:r>
    </w:p>
    <w:p>
      <w:r>
        <w:rPr>
          <w:b/>
        </w:rPr>
        <w:t xml:space="preserve">10.10 Oversight and competition. </w:t>
      </w:r>
      <w:r>
        <w:t>Permit the public entity, its authorized counsel, inspector general, auditor and legally empowered oversight bodies to inspect records and relevant control evidence concerning their data and contract performance, subject to lawful security safeguards. Commercial confidentiality shall not defeat lawful oversight. Cooperation duties flow down to processors and survive for retained records. The exchange shall not facilitate coordination of vendor prices, bids, customers or market allocation; segregate competitively sensitive vendor information from competitors. Procurement and public meeting obligations remain with the responsible entities.</w:t>
      </w:r>
    </w:p>
    <w:p>
      <w:r>
        <w:br w:type="page"/>
      </w:r>
    </w:p>
    <w:p>
      <w:pPr>
        <w:pStyle w:val="Heading1"/>
      </w:pPr>
      <w:r>
        <w:t>Attachment A Participant accession and signatures</w:t>
      </w:r>
    </w:p>
    <w:p>
      <w:r>
        <w:rPr/>
        <w:t>Complete one accession for each Participant. The initial Operator and Participant execute below to establish the Agreement; additional Participants execute with Operator acceptance. Complete all required legal fields before execution. A signed accession grants membership in the framework, not access to every dataset.</w:t>
      </w:r>
    </w:p>
    <w:p>
      <w:r>
        <w:rPr>
          <w:b/>
        </w:rPr>
        <w:t xml:space="preserve">Agreement identifier and version </w:t>
      </w:r>
      <w:r>
        <w:rPr/>
        <w:t>[Complete]</w:t>
      </w:r>
    </w:p>
    <w:p>
      <w:r>
        <w:rPr>
          <w:b/>
        </w:rPr>
        <w:t xml:space="preserve">Operator legal name and address </w:t>
      </w:r>
      <w:r>
        <w:rPr/>
        <w:t>[Complete]</w:t>
      </w:r>
    </w:p>
    <w:p>
      <w:r>
        <w:rPr>
          <w:b/>
        </w:rPr>
        <w:t xml:space="preserve">Participant legal name and address </w:t>
      </w:r>
      <w:r>
        <w:rPr/>
        <w:t>[Complete]</w:t>
      </w:r>
    </w:p>
    <w:p>
      <w:r>
        <w:rPr>
          <w:b/>
        </w:rPr>
        <w:t xml:space="preserve">Entity type and jurisdiction </w:t>
      </w:r>
      <w:r>
        <w:rPr/>
        <w:t>[Complete]</w:t>
      </w:r>
    </w:p>
    <w:p>
      <w:r>
        <w:rPr>
          <w:b/>
        </w:rPr>
        <w:t xml:space="preserve">Participant role </w:t>
      </w:r>
      <w:r>
        <w:rPr/>
        <w:t>[Provider / Recipient / both; identify contractor sponsor if applicable]</w:t>
      </w:r>
    </w:p>
    <w:p>
      <w:r>
        <w:rPr>
          <w:b/>
        </w:rPr>
        <w:t xml:space="preserve">Authority to contract </w:t>
      </w:r>
      <w:r>
        <w:rPr/>
        <w:t>[Statutory or organizational authority and required approvals]</w:t>
      </w:r>
    </w:p>
    <w:p>
      <w:r>
        <w:rPr>
          <w:b/>
        </w:rPr>
        <w:t xml:space="preserve">Effective date and any shorter term </w:t>
      </w:r>
      <w:r>
        <w:rPr/>
        <w:t>[Complete; otherwise Section 9 applies]</w:t>
      </w:r>
    </w:p>
    <w:p>
      <w:r>
        <w:rPr>
          <w:b/>
        </w:rPr>
        <w:t xml:space="preserve">Operator Participant governing law and forum </w:t>
      </w:r>
      <w:r>
        <w:rPr/>
        <w:t>[Required; include public entity qualifications]</w:t>
      </w:r>
    </w:p>
    <w:p>
      <w:r>
        <w:rPr>
          <w:b/>
        </w:rPr>
        <w:t xml:space="preserve">Mandatory public entity terms or deviations </w:t>
      </w:r>
      <w:r>
        <w:rPr/>
        <w:t>[Attach signed addendum, identify sections changed, or enter None]</w:t>
      </w:r>
    </w:p>
    <w:p>
      <w:r>
        <w:rPr>
          <w:b/>
        </w:rPr>
        <w:t xml:space="preserve">Legal notice contact and address </w:t>
      </w:r>
      <w:r>
        <w:rPr/>
        <w:t>[Title, email, telephone, mailing address]</w:t>
      </w:r>
    </w:p>
    <w:p>
      <w:r>
        <w:rPr>
          <w:b/>
        </w:rPr>
        <w:t xml:space="preserve">Executive and governance contacts </w:t>
      </w:r>
      <w:r>
        <w:rPr/>
        <w:t>[Primary and alternate titles, emails, telephones]</w:t>
      </w:r>
    </w:p>
    <w:p>
      <w:r>
        <w:rPr>
          <w:b/>
        </w:rPr>
        <w:t xml:space="preserve">Data owner and steward contacts </w:t>
      </w:r>
      <w:r>
        <w:rPr/>
        <w:t>[Primary and alternate titles, emails, telephones]</w:t>
      </w:r>
    </w:p>
    <w:p>
      <w:r>
        <w:rPr>
          <w:b/>
        </w:rPr>
        <w:t xml:space="preserve">Technical and security contacts </w:t>
      </w:r>
      <w:r>
        <w:rPr/>
        <w:t>[Primary and alternate titles, emails, telephones; 24 hour incident route]</w:t>
      </w:r>
    </w:p>
    <w:p>
      <w:r>
        <w:rPr>
          <w:b/>
        </w:rPr>
        <w:t xml:space="preserve">Jurisdiction rider </w:t>
      </w:r>
      <w:r>
        <w:t>[Required Attachment F identifier, version, approvals and applicable agency mandatory contract terms]</w:t>
      </w:r>
    </w:p>
    <w:p>
      <w:r>
        <w:rPr/>
        <w:t>The Participant accepts the identified master Agreement and its applicable executed schedules, certifies the authority of its signatory, and will accept each dataset’s restrictions before access. The Operator accepts the Participant’s accession and the expressly attached qualifications. Future sharing is limited to valid authorizations.</w:t>
      </w:r>
    </w:p>
    <w:p>
      <w:pPr>
        <w:pStyle w:val="Heading1"/>
      </w:pPr>
      <w:r>
        <w:t>Participant signature</w:t>
      </w:r>
    </w:p>
    <w:p>
      <w:r>
        <w:rPr/>
        <w:t>By: ____________________________________    Date: __________________</w:t>
      </w:r>
    </w:p>
    <w:p>
      <w:r>
        <w:rPr/>
        <w:t>Name and title: _____________________________________________________</w:t>
      </w:r>
    </w:p>
    <w:p>
      <w:pPr>
        <w:pStyle w:val="Heading1"/>
      </w:pPr>
      <w:r>
        <w:t>Operator signature and acceptance</w:t>
      </w:r>
    </w:p>
    <w:p>
      <w:r>
        <w:rPr/>
        <w:t>By: ____________________________________    Date: __________________</w:t>
      </w:r>
    </w:p>
    <w:p>
      <w:r>
        <w:rPr/>
        <w:t>Name and title: _____________________________________________________</w:t>
      </w:r>
    </w:p>
    <w:p>
      <w:r>
        <w:rPr/>
        <w:t>Required counsel or agency approval: __________________________________</w:t>
      </w:r>
    </w:p>
    <w:p>
      <w:r>
        <w:br w:type="page"/>
      </w:r>
    </w:p>
    <w:p>
      <w:pPr>
        <w:pStyle w:val="Heading1"/>
      </w:pPr>
      <w:r>
        <w:t>Attachment B Dataset authorization and rights schedule</w:t>
      </w:r>
    </w:p>
    <w:p>
      <w:r>
        <w:rPr/>
        <w:t>Complete one schedule per dataset or set of datasets having identical rights. This schedule has two pages. Fill every field with an authorization, prohibition, or Not applicable. Blank permission fields grant no permission. Referenced contracts and addenda must be available to the consenting Parties before approval.</w:t>
      </w:r>
    </w:p>
    <w:p>
      <w:r>
        <w:rPr>
          <w:b/>
        </w:rPr>
        <w:t xml:space="preserve">B1 Identity and authority </w:t>
      </w:r>
      <w:r>
        <w:rPr/>
        <w:t>Dataset name and identifier: [Complete]. Provider and underlying rights holder: [Complete]. Source contract, license, task order, and evidence of sharing authority: [Complete]. Rights holder consent attached: [Yes / existing express authorization identified / not applicable for own data].</w:t>
      </w:r>
    </w:p>
    <w:p>
      <w:r>
        <w:rPr>
          <w:b/>
        </w:rPr>
        <w:t xml:space="preserve">B2 Contents and coverage </w:t>
      </w:r>
      <w:r>
        <w:rPr/>
        <w:t>Domains, fields, geography, historical dates, format, schema version, data dictionary, and catalog metadata: [Complete]. Known quality limitations and prohibited fields: [Complete].</w:t>
      </w:r>
    </w:p>
    <w:p>
      <w:r>
        <w:rPr>
          <w:b/>
        </w:rPr>
        <w:t xml:space="preserve">B3 Classification </w:t>
      </w:r>
      <w:r>
        <w:rPr/>
        <w:t>[Public / Participant / Restricted]. Legal basis for disclosure and public license if applicable: [Complete]. Personal or regulated information: [None / describe and attach executed specialist addendum]. Catalog visibility: [Public metadata / eligible Participants only / named Recipients only].</w:t>
      </w:r>
    </w:p>
    <w:p>
      <w:r>
        <w:rPr>
          <w:b/>
        </w:rPr>
        <w:t xml:space="preserve">B4 Eligible recipients </w:t>
      </w:r>
      <w:r>
        <w:rPr/>
        <w:t>[Named legal entities or precisely defined class and verification criteria]. Cross-member access: [Permitted scope / prohibited]. Private developers and subjurisdictions: [State eligibility]. Contractor and processor access: [State scope and approved entities].</w:t>
      </w:r>
    </w:p>
    <w:p>
      <w:r>
        <w:rPr>
          <w:b/>
        </w:rPr>
        <w:t xml:space="preserve">B5 Purposes and processing </w:t>
      </w:r>
      <w:r>
        <w:rPr/>
        <w:t>[List authorized purposes and processing]. Permitted combinations with other sources: [List]. Commercial products or services: [Permitted scope / prohibited]. Navigation and route guidance: [Permitted scope / prohibited]. Automated vehicle use and law enforcement use: [Separately state permission or prohibition].</w:t>
      </w:r>
    </w:p>
    <w:p>
      <w:r>
        <w:rPr>
          <w:b/>
        </w:rPr>
        <w:t xml:space="preserve">B6 Publication and redistribution </w:t>
      </w:r>
      <w:r>
        <w:rPr/>
        <w:t>Raw data or API rehosting: [Permission / prohibited]. Approved public outputs and channels: [List]. Public safety outputs: [List authorized scope]. Restricted input to permitted output rules, aggregation thresholds, delays, redaction, and reconstruction limits: [Complete]. Attribution and license notices: [Exact text].</w:t>
      </w:r>
    </w:p>
    <w:p>
      <w:r>
        <w:rPr>
          <w:b/>
        </w:rPr>
        <w:t xml:space="preserve">B7 AI and automated processing </w:t>
      </w:r>
      <w:r>
        <w:rPr/>
        <w:t>AI already used by Provider: [No / system, purpose, provenance and limitations]. Authorized Recipient or Operator AI processing: [None / named systems, processing, providers, input retention, output rights]. Training, fine-tuning, embeddings and model retention: [Each permitted scope or prohibited]. Approved operating procedure for automation: [Reference / none].</w:t>
      </w:r>
    </w:p>
    <w:p>
      <w:r>
        <w:br w:type="page"/>
      </w:r>
    </w:p>
    <w:p>
      <w:pPr>
        <w:pStyle w:val="Heading1"/>
      </w:pPr>
      <w:r>
        <w:t>Attachment B Dataset terms and approval continued</w:t>
      </w:r>
    </w:p>
    <w:p>
      <w:r>
        <w:rPr>
          <w:b/>
        </w:rPr>
        <w:t xml:space="preserve">B8 Delivery and operational conditions </w:t>
      </w:r>
      <w:r>
        <w:rPr/>
        <w:t>Endpoint or transfer method: [Complete; do not include secrets]. Push or pull frequency, source request budget, update interval, source and observation timestamps, freshness thresholds, lifecycle mapping, incident route, maintenance notice, support hours and any service commitments: [Complete].</w:t>
      </w:r>
    </w:p>
    <w:p>
      <w:r>
        <w:rPr>
          <w:b/>
        </w:rPr>
        <w:t xml:space="preserve">B9 Processing and storage </w:t>
      </w:r>
      <w:r>
        <w:rPr/>
        <w:t>[Hosted copy / federated access / approved computation at source]. Approved Operator, Recipient and processor environments: [List]. Residency and remote access exceptions: [List / none]. Additional security controls and approved exceptions to Attachment C: [List; attach signed deviation if needed].</w:t>
      </w:r>
    </w:p>
    <w:p>
      <w:r>
        <w:rPr>
          <w:b/>
        </w:rPr>
        <w:t xml:space="preserve">B10 Duration and retention </w:t>
      </w:r>
      <w:r>
        <w:rPr/>
        <w:t>Delivery start and end: [Complete]. Use period for already received data: [Complete]. Raw data, outputs, logs and backup retention: [Specify each]. Post-termination archive and output rights: [Specify each / none]. Legal retention procedure, deletion certification and portability format and timing: [Complete].</w:t>
      </w:r>
    </w:p>
    <w:p>
      <w:r>
        <w:rPr>
          <w:b/>
        </w:rPr>
        <w:t xml:space="preserve">B11 Portal access </w:t>
      </w:r>
      <w:r>
        <w:rPr/>
        <w:t>[Not applicable / vendor portal name, terms and version, subscription dates, named user eligibility, seat count, subjurisdiction eligibility, analyses for other agencies, geographic limits, export and output rights]. Portal privileges do not follow automatically from cross-member dataset access.</w:t>
      </w:r>
    </w:p>
    <w:p>
      <w:r>
        <w:t>B12 Fees and commercial risk terms. [No fee / identify separately signed funded agreement]. Complete applicable Attachment G or identify an existing equivalent agreement, approved insurance or financial assurance, and any expressly approved cap and exclusions. Identify downstream terms and authorized Recipient acceptance. Required private-party terms must be completed before controlled access.</w:t>
      </w:r>
    </w:p>
    <w:p>
      <w:r>
        <w:rPr>
          <w:b/>
        </w:rPr>
        <w:t xml:space="preserve">B13 Findings and governance </w:t>
      </w:r>
      <w:r>
        <w:rPr/>
        <w:t>Permitted quality checks, methodology, return path, correction authority and Provider response contact: [Complete]. Participant-specific public benchmarking: [Permission with review procedure / prohibited]. Approval criteria for Derived Outputs: [Complete].</w:t>
      </w:r>
    </w:p>
    <w:p>
      <w:r>
        <w:rPr>
          <w:b/>
        </w:rPr>
        <w:t xml:space="preserve">B14 Dataset law and forum </w:t>
      </w:r>
      <w:r>
        <w:rPr/>
        <w:t>Provider Recipient governing law, lawful forum and public entity qualifications: [Required]. Express master deviations and consenting Parties: [None / executed addendum and affected sections].</w:t>
      </w:r>
    </w:p>
    <w:p>
      <w:r>
        <w:rPr>
          <w:b/>
        </w:rPr>
        <w:t xml:space="preserve">B15 Legal readiness </w:t>
      </w:r>
      <w:r>
        <w:t>[Provider and Recipient rider identifiers; source rights verified; security review complete; sensitive-data legal clearance and addenda; accessibility requirements; private Party Attachment G; authorized acceptance]. No affected controlled access until complete.</w:t>
      </w:r>
    </w:p>
    <w:p>
      <w:r>
        <w:rPr/>
        <w:t>Provider approval: ______________________  Name and title: ______________________</w:t>
      </w:r>
    </w:p>
    <w:p>
      <w:r>
        <w:rPr/>
        <w:t>Date: __________  Rights holder approval or existing authorization reference: ______________</w:t>
      </w:r>
    </w:p>
    <w:p>
      <w:r>
        <w:rPr/>
        <w:t>Operator approval: _____________________  Name and title: ______________________</w:t>
      </w:r>
    </w:p>
    <w:p>
      <w:r>
        <w:rPr/>
        <w:t>Date: __________  Schedule version and effective date: ____________________________</w:t>
      </w:r>
    </w:p>
    <w:p>
      <w:r>
        <w:rPr/>
        <w:t>Recipient acceptance: [Legal name, authorized official, signature or recorded written acceptance, date, schedule version]. Repeat for each eligible Recipient; the Operator may maintain the acceptance register as an incorporated record. A class approval does not replace each Recipient’s acceptance of restrictions.</w:t>
      </w:r>
    </w:p>
    <w:p>
      <w:r>
        <w:br w:type="page"/>
      </w:r>
    </w:p>
    <w:p>
      <w:pPr>
        <w:pStyle w:val="Heading1"/>
      </w:pPr>
      <w:r>
        <w:t>Attachment C Minimum security and data protection requirements</w:t>
      </w:r>
    </w:p>
    <w:p>
      <w:r>
        <w:rPr/>
        <w:t>These controls apply to systems used for exchange activities in proportion to the approved data classification. Public data availability does not remove the duty to secure accounts, source integrity, and exchange systems. Additional regulated data requirements require a signed addendum.</w:t>
      </w:r>
    </w:p>
    <w:p>
      <w:r>
        <w:rPr>
          <w:b/>
        </w:rPr>
        <w:t xml:space="preserve">C1 Governance and inventory. </w:t>
      </w:r>
      <w:r>
        <w:rPr/>
        <w:t>Maintain written security and incident response procedures; inventories of data, systems, interfaces and approved processors; assigned security ownership; staff training; and documented risk reviews. Use a risk-based control program aligned with NIST Cybersecurity Framework 2.0 and applicable governmental policies. This alignment is a contractual control approach, not a claim of NIST certification. Apply specialist frameworks only where relevant and expressly required.</w:t>
      </w:r>
    </w:p>
    <w:p>
      <w:r>
        <w:rPr>
          <w:b/>
        </w:rPr>
        <w:t xml:space="preserve">C2 Identity and isolation. </w:t>
      </w:r>
      <w:r>
        <w:rPr/>
        <w:t>Use individual or approved service identities, least privilege, role-based access, timely deprovisioning, and periodic access reviews at least quarterly for Controlled Data. Require multifactor authentication for privileged access and interactive access to Controlled Data. Separate Participant entitlements, protect credentials in managed secret storage, rotate compromised secrets, and prohibit credentials embedded in feeds or documents.</w:t>
      </w:r>
    </w:p>
    <w:p>
      <w:r>
        <w:rPr>
          <w:b/>
        </w:rPr>
        <w:t xml:space="preserve">C3 Transfer storage and residency. </w:t>
      </w:r>
      <w:r>
        <w:rPr/>
        <w:t>Use approved secure transport, ordinarily TLS 1.2 or stronger, for exchange interfaces. Encrypt Controlled Data at rest using strong supported cryptography, ordinarily AES 256 or equivalent, with protected key management. Protect processing environments and backups. Controlled Data shall be stored, processed and remotely accessed within the United States unless Attachment B expressly approves another location. Public data released under an open license is not subject to a downstream residency restriction here unless an express lawful qualification applies.</w:t>
      </w:r>
    </w:p>
    <w:p>
      <w:r>
        <w:rPr>
          <w:b/>
        </w:rPr>
        <w:t xml:space="preserve">C4 System protection. </w:t>
      </w:r>
      <w:r>
        <w:rPr/>
        <w:t>Maintain supported software, timely security updates, endpoint protection, network restrictions, vulnerability management, logging, and recovery procedures. Prioritize exploitable critical vulnerabilities and document remediation or compensating controls. Do not use technologies prohibited by laws or policies binding on the applicable Party; identify applicable restrictions during onboarding rather than automatically importing another state’s policy.</w:t>
      </w:r>
    </w:p>
    <w:p>
      <w:r>
        <w:rPr>
          <w:b/>
        </w:rPr>
        <w:t xml:space="preserve">C5 Logs and recovery. </w:t>
      </w:r>
      <w:r>
        <w:rPr/>
        <w:t>Record controlled access, material exports, permission changes, transformations and administrative activity. Protect logs against tampering and avoid unnecessary Personal Information or data payloads. Retain audit logs for at least 12 months unless an applicable law or approved schedule requires a different period. Test recovery for retained operational data and permission settings at least annually; deletion obligations apply to restored copies.</w:t>
      </w:r>
    </w:p>
    <w:p>
      <w:r>
        <w:rPr>
          <w:b/>
        </w:rPr>
        <w:t xml:space="preserve">C6 Processors and AI providers. </w:t>
      </w:r>
      <w:r>
        <w:rPr/>
        <w:t>Before a processor handles Controlled Data, disclose its legal identity, function, location, and downstream processors to the Provider and obtain approval. Bind it to equivalent purpose, confidentiality, security, incident, audit, and deletion duties. Prohibit independent monetization, advertising, model training, and data retention beyond instructions unless specifically authorized. Notify proposed material processor changes in advance and obtain approval before affected processing.</w:t>
      </w:r>
    </w:p>
    <w:p>
      <w:r>
        <w:rPr>
          <w:b/>
        </w:rPr>
        <w:t xml:space="preserve">C7 Assurance. </w:t>
      </w:r>
      <w:r>
        <w:rPr/>
        <w:t>On reasonable request, provide relevant security summaries, control evidence, or available independent assessments. Certifications such as SOC 2 are required only if specifically agreed in Attachment B. Additional review must be appropriately scoped, protect other Participants’ information, and not require unrestricted system access. Identified material control gaps require a documented corrective plan or suspension of the affected access.</w:t>
      </w:r>
    </w:p>
    <w:p>
      <w:r>
        <w:rPr>
          <w:b/>
        </w:rPr>
        <w:t xml:space="preserve">C8 Incident and disposal. </w:t>
      </w:r>
      <w:r>
        <w:rPr/>
        <w:t>Follow Section 7.2; contain affected access, preserve evidence, cooperate, and document closure. Maintain a current 24 hour notification route in Attachment A. Securely erase Controlled Data at the end of its authorized retention and certify deletion under Section 8.4. Apply equivalent controls to archives retained by legal duty.</w:t>
      </w:r>
    </w:p>
    <w:p>
      <w:r>
        <w:br w:type="page"/>
      </w:r>
    </w:p>
    <w:p>
      <w:pPr>
        <w:pStyle w:val="Heading1"/>
      </w:pPr>
      <w:r>
        <w:t>Attachment D Governance and operational coordination</w:t>
      </w:r>
    </w:p>
    <w:p>
      <w:r>
        <w:rPr>
          <w:b/>
        </w:rPr>
        <w:t xml:space="preserve">D1 Roles. </w:t>
      </w:r>
      <w:r>
        <w:rPr/>
        <w:t>Each Participant designates an executive sponsor, governance lead, data owner, data steward, technical lead, and security contact with alternates. The data owner approves disclosure and rights; the steward maintains definitions, metadata and quality coordination; the technical lead maintains interfaces and access; the security contact manages incidents; the governance lead handles escalation. A person may hold more than one role if responsibility remains clear.</w:t>
      </w:r>
    </w:p>
    <w:p>
      <w:r>
        <w:rPr>
          <w:b/>
        </w:rPr>
        <w:t xml:space="preserve">D2 Operator administration. </w:t>
      </w:r>
      <w:r>
        <w:rPr/>
        <w:t>The Operator administers the catalog, onboarding, eligibility, permissions, acceptance register, monitoring, and source feedback. Before enabling a dataset it shall verify the approved schedule, licenses, recipient permissions, required processor approvals, and security prerequisites. It shall make current applicable restrictions available to every Recipient and provide the Provider a record of authorized controlled access on reasonable request.</w:t>
      </w:r>
    </w:p>
    <w:p>
      <w:r>
        <w:rPr>
          <w:b/>
        </w:rPr>
        <w:t xml:space="preserve">D3 Governance group. </w:t>
      </w:r>
      <w:r>
        <w:rPr/>
        <w:t>The Operator shall convene a governance group with a representative of each active Participant and may establish technical working groups. Coordination shall occur at least quarterly; review the Agreement’s implementation, dataset schedules, contacts, and control requirements at least annually. Decisions requiring consent remain subject to Section 10.8. Membership or a vote does not transfer a Provider’s rights or bind a public entity beyond its authority.</w:t>
      </w:r>
    </w:p>
    <w:p>
      <w:r>
        <w:rPr>
          <w:b/>
        </w:rPr>
        <w:t xml:space="preserve">D4 Quality and source correction. </w:t>
      </w:r>
      <w:r>
        <w:rPr/>
        <w:t>Use the process in Section 6.5. Every material finding shall identify dataset, sample record, source adapter where applicable, test method, reason, proposed remedy, timestamps, owner and finding identifier. Providers determine source action. The Operator records accepted, disputed, corrected, closed or repeat outcomes and reruns the relevant check. Coverage gaps and unavailable evidence remain distinct from failed checks.</w:t>
      </w:r>
    </w:p>
    <w:p>
      <w:r>
        <w:rPr>
          <w:b/>
        </w:rPr>
        <w:t xml:space="preserve">D5 Changes and communications. </w:t>
      </w:r>
      <w:r>
        <w:rPr/>
        <w:t>Notify material quality or access issues within one business day, urgent safety issues promptly, and incidents under Section 7.2. Record planned schema and endpoint changes, rights changes, and lifecycle events. A planned technical migration shall include testing and rollback arrangements proportionate to impact. Rights changes require approval before access is expanded; technical convenience is not a reason to bypass approval.</w:t>
      </w:r>
    </w:p>
    <w:p>
      <w:r>
        <w:rPr>
          <w:b/>
        </w:rPr>
        <w:t xml:space="preserve">D6 Benchmarking and publication. </w:t>
      </w:r>
      <w:r>
        <w:rPr/>
        <w:t>Record methodologies, limitations, peer group criteria, and publication permissions. Provide a reasonable opportunity for an affected Provider to identify factual errors before publishing Participant-specific findings, ordinarily 10 business days unless Attachment B states otherwise. This review does not permit hiding a failed technical check or labeling an unrun check as clean; unresolved factual disputes must be visible. Public release must follow Attachment B.</w:t>
      </w:r>
    </w:p>
    <w:p>
      <w:r>
        <w:rPr>
          <w:b/>
        </w:rPr>
        <w:t xml:space="preserve">D7 Safe use and exit. </w:t>
      </w:r>
      <w:r>
        <w:rPr/>
        <w:t>Operational automation must have an approved procedure, accountable authority and activation record. For exit or transfer, inventory affected sources, recipients, outputs, keys, processors, retention duties, and surviving permissions. Confirm export, access revocation and deletion, and preserve only authorized records. The governance group may recommend a successor Operator, but substitution requires the consents specified in Section 10.9.</w:t>
      </w:r>
    </w:p>
    <w:p>
      <w:r>
        <w:rPr/>
        <w:t>Governance lead and alternate: [Title, email, telephone]</w:t>
      </w:r>
    </w:p>
    <w:p>
      <w:r>
        <w:rPr/>
        <w:t>Coordination meeting cadence and issue tracking location: [Complete]</w:t>
      </w:r>
    </w:p>
    <w:p>
      <w:r>
        <w:rPr/>
        <w:t>Applicable operational procedures and delegated approval authorities: [Complete]</w:t>
      </w:r>
    </w:p>
    <w:p>
      <w:r>
        <w:br w:type="page"/>
      </w:r>
    </w:p>
    <w:p>
      <w:pPr>
        <w:pStyle w:val="Heading1"/>
      </w:pPr>
      <w:r>
        <w:t>Attachment E Contractor access and need to know</w:t>
      </w:r>
    </w:p>
    <w:p>
      <w:r>
        <w:rPr/>
        <w:t>Complete before contractor access. The sponsoring Participant must already be authorized for each listed dataset. A contractor signs Attachment A as a Participant or enters an enforceable undertaking incorporating the applicable Agreement and schedules before the Operator enables access. Contractor access grants no independent cross-member or commercial rights.</w:t>
      </w:r>
    </w:p>
    <w:p>
      <w:r>
        <w:rPr>
          <w:b/>
        </w:rPr>
        <w:t xml:space="preserve">E1 Contractor identity </w:t>
      </w:r>
      <w:r>
        <w:rPr/>
        <w:t>Legal name, address, entity type and jurisdiction: [Complete]</w:t>
      </w:r>
    </w:p>
    <w:p>
      <w:r>
        <w:rPr>
          <w:b/>
        </w:rPr>
        <w:t xml:space="preserve">E2 Sponsoring Participant </w:t>
      </w:r>
      <w:r>
        <w:rPr/>
        <w:t>Legal name, authorized sponsor contact, email and telephone: [Complete]</w:t>
      </w:r>
    </w:p>
    <w:p>
      <w:r>
        <w:rPr>
          <w:b/>
        </w:rPr>
        <w:t xml:space="preserve">E3 Contract and project </w:t>
      </w:r>
      <w:r>
        <w:rPr/>
        <w:t>Prime contract or subcontract number, project description and relevant work obligations: [Complete]</w:t>
      </w:r>
    </w:p>
    <w:p>
      <w:r>
        <w:rPr>
          <w:b/>
        </w:rPr>
        <w:t xml:space="preserve">E4 Access required </w:t>
      </w:r>
      <w:r>
        <w:rPr/>
        <w:t>Dataset identifiers and current Attachment B versions; required fields, geography, historical dates and approved purposes: [Complete]</w:t>
      </w:r>
    </w:p>
    <w:p>
      <w:r>
        <w:rPr>
          <w:b/>
        </w:rPr>
        <w:t xml:space="preserve">E5 Need and term </w:t>
      </w:r>
      <w:r>
        <w:rPr/>
        <w:t>Explain why access is necessary: [Complete]. Start date: [Complete]. End date: [Complete]. Access ends on this date or when the authorized need ends, whichever occurs first, unless reapproved.</w:t>
      </w:r>
    </w:p>
    <w:p>
      <w:r>
        <w:rPr>
          <w:b/>
        </w:rPr>
        <w:t xml:space="preserve">E6 Users and systems </w:t>
      </w:r>
      <w:r>
        <w:rPr/>
        <w:t>Named users or authorized roles, approved service identities, locations, hosting environments and processors: [Complete]. Approved subcontractors: [List / none].</w:t>
      </w:r>
    </w:p>
    <w:p>
      <w:r>
        <w:rPr>
          <w:b/>
        </w:rPr>
        <w:t xml:space="preserve">E7 Outputs and disposition </w:t>
      </w:r>
      <w:r>
        <w:rPr/>
        <w:t>Deliverables, approved public outputs, sponsor handoff, retention, deletion and certification: [Complete consistent with Attachment B].</w:t>
      </w:r>
    </w:p>
    <w:p>
      <w:r>
        <w:rPr>
          <w:b/>
        </w:rPr>
        <w:t xml:space="preserve">E8 Acceptance route </w:t>
      </w:r>
      <w:r>
        <w:rPr/>
        <w:t>[Signed Attachment A / attached enforceable undertaking identifying master and dataset versions]. Applicable governing law and forum and any public entity terms: [Complete].</w:t>
      </w:r>
    </w:p>
    <w:p>
      <w:r>
        <w:rPr/>
        <w:t>The Contractor certifies the information above is accurate, accepts the applicable obligations, will use access only for the sponsoring project, will not reuse data for other clients or model training without express authorization, and will return or delete data when its authorization ends, subject to approved surviving rights and legal retention. The Sponsor confirms the need and scope, shall notify the Operator promptly when access should end, and shall oversee compliance within its authority.</w:t>
      </w:r>
    </w:p>
    <w:p>
      <w:pPr>
        <w:pStyle w:val="Heading1"/>
      </w:pPr>
      <w:r>
        <w:t>Contractor approval</w:t>
      </w:r>
    </w:p>
    <w:p>
      <w:r>
        <w:rPr/>
        <w:t>Signature: ______________________________  Date: __________________</w:t>
      </w:r>
    </w:p>
    <w:p>
      <w:r>
        <w:rPr/>
        <w:t>Name and title: __________________________________________________</w:t>
      </w:r>
    </w:p>
    <w:p>
      <w:pPr>
        <w:pStyle w:val="Heading1"/>
      </w:pPr>
      <w:r>
        <w:t>Sponsoring Participant approval</w:t>
      </w:r>
    </w:p>
    <w:p>
      <w:r>
        <w:rPr/>
        <w:t>Signature: ______________________________  Date: __________________</w:t>
      </w:r>
    </w:p>
    <w:p>
      <w:r>
        <w:rPr/>
        <w:t>Name and title: __________________________________________________</w:t>
      </w:r>
    </w:p>
    <w:p>
      <w:pPr>
        <w:pStyle w:val="Heading1"/>
      </w:pPr>
      <w:r>
        <w:t>Operator access approval</w:t>
      </w:r>
    </w:p>
    <w:p>
      <w:r>
        <w:rPr/>
        <w:t>Signature: ______________________________  Date: __________________</w:t>
      </w:r>
    </w:p>
    <w:p>
      <w:r>
        <w:rPr/>
        <w:t>Name and title: __________________________________________________</w:t>
      </w:r>
    </w:p>
    <w:p>
      <w:r>
        <w:rPr/>
        <w:t>Provider approval required by Attachment B: [Approval reference / not required]</w:t>
      </w:r>
    </w:p>
    <w:p>
      <w:r>
        <w:br w:type="page"/>
      </w:r>
    </w:p>
    <w:p>
      <w:pPr>
        <w:pStyle w:val="Heading1"/>
      </w:pPr>
      <w:r>
        <w:t>Attachment F Public entity jurisdiction rider</w:t>
      </w:r>
    </w:p>
    <w:p>
      <w:r>
        <w:t>Complete and execute this rider for every public entity before accession or dataset exchange. Apply the same review to a state DOT, local agency, public university, authority, or other public body; requirements may differ within one state. This rider does not certify another state’s law or grant rights beyond an underlying license.</w:t>
      </w:r>
    </w:p>
    <w:p>
      <w:r>
        <w:rPr>
          <w:b/>
        </w:rPr>
        <w:t xml:space="preserve">F1 Required legal review. </w:t>
      </w:r>
      <w:r>
        <w:t>Identify the enabling authority for this entity to contract, share, receive and process the proposed data; any interstate cooperation authority; required attorney general, agency counsel, controller, CIO, governing board or procurement approval; applicable mandatory contract clauses; and the authorized signer. A representation of signature authority does not replace required approvals. List the applicable official sources and effective versions.</w:t>
      </w:r>
    </w:p>
    <w:p>
      <w:r>
        <w:rPr>
          <w:b/>
        </w:rPr>
        <w:t xml:space="preserve">F2 Sovereignty and funds. </w:t>
      </w:r>
      <w:r>
        <w:t>Sections 9.1 and 10.2 through 10.6 apply without requiring the public entity to waive immunity, indemnify another Party, insure another Party, guarantee a future appropriation, consent to arbitration, or accept a new court’s jurisdiction. Insert any additional mandatory wording. Identify any lawful accrued financial obligations in a separate funded agreement. The state’s mandatory terms do not silently impose obligations on another state.</w:t>
      </w:r>
    </w:p>
    <w:p>
      <w:r>
        <w:rPr>
          <w:b/>
        </w:rPr>
        <w:t xml:space="preserve">F3 Records and classifications. </w:t>
      </w:r>
      <w:r>
        <w:t>Identify the public records custodian, request escalation route, statutory response and third-party notice procedures, legal exceptions or prohibitions, records schedules, and preservation duties. Identify records held by the Operator and processors on the agency’s behalf and required contractor notice text, formatting and records access provisions. Map exchange labels to actual legal classifications; distinguish discretionary exemptions from mandatory confidentiality. A record exempt from public release is not automatically authorized for interstate disclosure.</w:t>
      </w:r>
    </w:p>
    <w:p>
      <w:r>
        <w:rPr>
          <w:b/>
        </w:rPr>
        <w:t xml:space="preserve">F4 Privacy security and technology. </w:t>
      </w:r>
      <w:r>
        <w:t>Identify applicable personal data, DMV, crash, roadway safety study, camera, geolocation, critical infrastructure, security incident and data breach requirements. Identify approved hosting and remote-access locations, incident reporting deadlines and routes, prohibited technologies and processor terms. Specify agency security controls, evidence and remediation requirements; inconsistent requirements must be resolved before processing. Required changes imposed by law are not subject to a contractual veto.</w:t>
      </w:r>
    </w:p>
    <w:p>
      <w:r>
        <w:rPr>
          <w:b/>
        </w:rPr>
        <w:t xml:space="preserve">F5 Procurement and oversight. </w:t>
      </w:r>
      <w:r>
        <w:t>Identify no-fee agreement and paid service procurement requirements, funding source, mandatory grants terms, audit and records access, insurance approvals and required commercial risk terms. Free data access does not itself exempt hosting or service procurement. Identify any public meeting requirements for participation in governance or working groups; do not promise confidential meetings contrary to law. Preserve state counsel’s authority over claims, settlement and defense.</w:t>
      </w:r>
    </w:p>
    <w:p>
      <w:r>
        <w:rPr>
          <w:b/>
        </w:rPr>
        <w:t xml:space="preserve">F6 Accessibility and automated use. </w:t>
      </w:r>
      <w:r>
        <w:t>Specify applicable accessibility law and technical standards, testing, conformance evidence, support and remediation dates for hosted interfaces and public outputs. Specify approved AI policies, legal authority, impact assessment and human operational authority where relevant. Complete a separate approved operating procedure before automated control or official alerts are enabled.</w:t>
      </w:r>
    </w:p>
    <w:p>
      <w:r>
        <w:br w:type="page"/>
      </w:r>
    </w:p>
    <w:p>
      <w:pPr>
        <w:pStyle w:val="Heading1"/>
      </w:pPr>
      <w:r>
        <w:t>Attachment F Required decisions and execution continued</w:t>
      </w:r>
    </w:p>
    <w:p>
      <w:r>
        <w:rPr>
          <w:b/>
        </w:rPr>
        <w:t xml:space="preserve">Entity and jurisdiction </w:t>
      </w:r>
      <w:r>
        <w:t>[Full legal name, state, agency type, rider version and date]</w:t>
      </w:r>
    </w:p>
    <w:p>
      <w:r>
        <w:rPr>
          <w:b/>
        </w:rPr>
        <w:t xml:space="preserve">Contract and data authority </w:t>
      </w:r>
      <w:r>
        <w:t>[Citations, authorized activity and statutory limits]</w:t>
      </w:r>
    </w:p>
    <w:p>
      <w:r>
        <w:rPr>
          <w:b/>
        </w:rPr>
        <w:t xml:space="preserve">Approvals and mandatory terms </w:t>
      </w:r>
      <w:r>
        <w:t>[Required offices, approval identifiers and attached mandatory clauses with versions]</w:t>
      </w:r>
    </w:p>
    <w:p>
      <w:r>
        <w:rPr>
          <w:b/>
        </w:rPr>
        <w:t xml:space="preserve">Law and permitted forum </w:t>
      </w:r>
      <w:r>
        <w:t>[Applicable state law, court or claims tribunal, immunity and claim-notice requirements; no consent beyond law]</w:t>
      </w:r>
    </w:p>
    <w:p>
      <w:r>
        <w:rPr>
          <w:b/>
        </w:rPr>
        <w:t xml:space="preserve">Public records and retention </w:t>
      </w:r>
      <w:r>
        <w:t>[Statutes, custodian telephone/email/address, deadlines, contractor provisions, records schedules and legal hold route]</w:t>
      </w:r>
    </w:p>
    <w:p>
      <w:r>
        <w:rPr>
          <w:b/>
        </w:rPr>
        <w:t xml:space="preserve">Data classifications and legal bases </w:t>
      </w:r>
      <w:r>
        <w:t>[Dataset identifiers, access classes, statutory classifications, lawful recipients and purpose limits]</w:t>
      </w:r>
    </w:p>
    <w:p>
      <w:r>
        <w:rPr>
          <w:b/>
        </w:rPr>
        <w:t xml:space="preserve">Privacy and security </w:t>
      </w:r>
      <w:r>
        <w:t>[Required addenda, incident deadlines, reporting portals, security baselines, prohibited technologies and residency]</w:t>
      </w:r>
    </w:p>
    <w:p>
      <w:r>
        <w:rPr>
          <w:b/>
        </w:rPr>
        <w:t xml:space="preserve">Accessibility and AI </w:t>
      </w:r>
      <w:r>
        <w:t>[Applicable standards, dates, evidence, remediation and approved AI/automation procedures]</w:t>
      </w:r>
    </w:p>
    <w:p>
      <w:r>
        <w:rPr>
          <w:b/>
        </w:rPr>
        <w:t xml:space="preserve">Commercial risk and funding </w:t>
      </w:r>
      <w:r>
        <w:t>[Attachment G or existing equivalent contract; risk approval, insurance and any funded obligations]</w:t>
      </w:r>
    </w:p>
    <w:p>
      <w:r>
        <w:rPr>
          <w:b/>
        </w:rPr>
        <w:t xml:space="preserve">Governance and oversight </w:t>
      </w:r>
      <w:r>
        <w:t>[Open meeting assessment, audit access, delegated authorities and required approvals]</w:t>
      </w:r>
    </w:p>
    <w:p>
      <w:r>
        <w:rPr>
          <w:b/>
        </w:rPr>
        <w:t xml:space="preserve">Express deviations </w:t>
      </w:r>
      <w:r>
        <w:t>[Master section, exact replacement language, legal basis and affected consenting Parties; otherwise None]</w:t>
      </w:r>
    </w:p>
    <w:p>
      <w:r>
        <w:rPr>
          <w:b/>
        </w:rPr>
        <w:t xml:space="preserve">Preaccess determination </w:t>
      </w:r>
      <w:r>
        <w:t>[All prerequisites completed / specific excluded datasets or activities]. An unresolved mandatory requirement blocks the affected exchange.</w:t>
      </w:r>
    </w:p>
    <w:p>
      <w:r>
        <w:t>The public entity’s authorized reviewer has identified the applicable requirements within the scope stated above. The Participant and Operator accept this rider for their relationship. A Provider–Recipient exchange requires both Parties’ accepted riders and resolution of incompatible requirements; execution here does not bind an unconsenting Provider or Recipient.</w:t>
      </w:r>
    </w:p>
    <w:p>
      <w:r>
        <w:t>Public entity authorized signature: ____________________  Date: __________</w:t>
      </w:r>
    </w:p>
    <w:p>
      <w:r>
        <w:t>Name and title: __________________________________________________</w:t>
      </w:r>
    </w:p>
    <w:p>
      <w:r>
        <w:t>Agency counsel or designated legal reviewer: ___________________________</w:t>
      </w:r>
    </w:p>
    <w:p>
      <w:r>
        <w:t>Required additional approval: ______________________________________</w:t>
      </w:r>
    </w:p>
    <w:p>
      <w:r>
        <w:t>Operator authorized signature: _______________________  Date: __________</w:t>
      </w:r>
    </w:p>
    <w:p>
      <w:r>
        <w:t>Name and title: __________________________________________________</w:t>
      </w:r>
    </w:p>
    <w:p>
      <w:r>
        <w:br w:type="page"/>
      </w:r>
    </w:p>
    <w:p>
      <w:pPr>
        <w:pStyle w:val="Heading1"/>
      </w:pPr>
      <w:r>
        <w:t>Attachment F Conditional state contractor provisions</w:t>
      </w:r>
    </w:p>
    <w:p>
      <w:r>
        <w:t>Include these provisions when the identified statutory conditions apply. Agency counsel shall verify current statutory text, prescribed formatting, required additional language and the agency’s mandatory contract form before execution. Other states may require different clauses; these examples do not replace the completed jurisdiction rider.</w:t>
      </w:r>
    </w:p>
    <w:p>
      <w:r>
        <w:rPr>
          <w:b/>
        </w:rPr>
        <w:t xml:space="preserve">Florida qualifying services contracts. </w:t>
      </w:r>
      <w:r>
        <w:t>If the Operator or another private Party is a contractor acting on behalf of a Florida public agency under section 119.0701, Florida Statutes, include the following notice with the agency custodian’s actual contact information. The notice below is in 14 point bold type. Complete all three contact fields.</w:t>
      </w:r>
    </w:p>
    <w:p>
      <w:r>
        <w:rPr>
          <w:b/>
          <w:sz w:val="28"/>
        </w:rPr>
        <w:t>IF THE CONTRACTOR HAS QUESTIONS REGARDING THE APPLICATION OF CHAPTER 119, FLORIDA STATUTES, TO THE CONTRACTOR’S DUTY TO PROVIDE PUBLIC RECORDS RELATING TO THIS CONTRACT, CONTACT THE CUSTODIAN OF PUBLIC RECORDS AT [TELEPHONE NUMBER], [EMAIL ADDRESS], AND [MAILING ADDRESS].</w:t>
      </w:r>
    </w:p>
    <w:p>
      <w:r>
        <w:t>The qualifying contractor shall keep and maintain public records required by the public agency to perform the service; upon the custodian’s request provide copies or permit inspection within a reasonable time at a cost not exceeding Chapter 119 or otherwise provided by law; protect exempt or confidential and exempt records against unauthorized disclosure during and after the contract if retained; and upon completion transfer public records without charge to the agency or keep and maintain them under applicable law. A contractor transferring records shall destroy duplicate exempt or confidential and exempt records; one retaining them shall meet all applicable retention duties. Electronically stored records must be furnished on request in a format compatible with the agency’s information technology systems. Statutory request, enforcement and penalty procedures remain applicable.</w:t>
      </w:r>
    </w:p>
    <w:p>
      <w:r>
        <w:rPr>
          <w:b/>
        </w:rPr>
        <w:t xml:space="preserve">Minnesota contracts and government functions. </w:t>
      </w:r>
      <w:r>
        <w:t>For a Minnesota government entity’s contract, notice is given that Minnesota Statutes section 13.05, subdivision 11, applies to the contract. When a private person performs a governmental function, data it creates, collects, receives, stores, uses, maintains or disseminates in performing that function are subject to Chapter 13, and the person must comply as if a government entity, including applicable statutory remedies. Public access duties remain as provided by law and the contract. Identify the responsible authority and data practices compliance official and the applicable data classifications and permitted uses in this rider.</w:t>
      </w:r>
    </w:p>
    <w:p>
      <w:r>
        <w:br w:type="page"/>
      </w:r>
    </w:p>
    <w:p>
      <w:pPr>
        <w:pStyle w:val="Heading1"/>
      </w:pPr>
      <w:r>
        <w:t>Attachment G Commercial risk allocation</w:t>
      </w:r>
    </w:p>
    <w:p>
      <w:r>
        <w:t>Complete before a private Operator handles agency Controlled Data or a private Provider grants Controlled Data rights, unless an existing agreement is expressly identified and provides equivalent protections to the affected parties. This attachment imposes no indemnity, defense, insurance or expanded liability obligation on a public entity. Each affected public Participant must approve applicable commercial risk terms through its authorized reviewer.</w:t>
      </w:r>
    </w:p>
    <w:p>
      <w:r>
        <w:rPr>
          <w:b/>
        </w:rPr>
        <w:t xml:space="preserve">G1 Indemnity by private parties. </w:t>
      </w:r>
      <w:r>
        <w:t>The private Indemnifying Party shall defend, indemnify and hold harmless the identified Protected Parties against third-party claims, damages awarded and reasonable defense costs to the extent caused by its infringement of intellectual property rights in the data or services it supplies, its breach of data-rights assurances, or its negligent acts, omissions or contractual privacy or security breaches in handling the Protected Parties’ data. This includes its processors acting on its behalf. Exclude the extent caused by a Protected Party’s unlawful modification or use outside the granted rights, or that Protected Party’s own negligence or misconduct. No Party is indemnified for conduct beyond these agreed terms; independent regulatory powers remain unaffected.</w:t>
      </w:r>
    </w:p>
    <w:p>
      <w:r>
        <w:rPr>
          <w:b/>
        </w:rPr>
        <w:t xml:space="preserve">G2 Defense and settlement. </w:t>
      </w:r>
      <w:r>
        <w:t>Promptly notify the Indemnifying Party and cooperate reasonably at its expense. Delayed notice excuses performance only to the extent of material prejudice. The Indemnifying Party may control a private Protected Party’s defense with acceptable competent counsel; a public entity’s defense and representation remain subject to its attorney general’s or other legally authorized counsel’s authority. No settlement may admit wrongdoing, require payment or nonmonetary action by a Protected Party, waive immunity or legal defenses, restrict agency operations, or fail to release that Party without its authorized written consent. No public entity must settle, surrender defense control, or advance defense costs.</w:t>
      </w:r>
    </w:p>
    <w:p>
      <w:r>
        <w:rPr>
          <w:b/>
        </w:rPr>
        <w:t xml:space="preserve">G3 Infringement and direct remedies. </w:t>
      </w:r>
      <w:r>
        <w:t>If authorized use is challenged, the private Provider or Operator shall at its cost procure the required rights, provide a lawful materially equivalent replacement accepted by the affected Recipient, or stop the affected service with safe transition, data return and any refund required by a separate paid agreement. These options do not eliminate accrued indemnity or direct remedies. Reasonable containment, investigation, notice, recovery and restoration expenses caused by a Party’s breach may be recovered to the extent legally available; no payment undertaking is created for a public entity.</w:t>
      </w:r>
    </w:p>
    <w:p>
      <w:r>
        <w:rPr>
          <w:b/>
        </w:rPr>
        <w:t xml:space="preserve">G4 Insurance and approved limits. </w:t>
      </w:r>
      <w:r>
        <w:t>Identify coverage appropriate to the service: technology errors and omissions, cyber/privacy liability and other legally required coverage; insurer or approved self-insurance; limits; deductibles; evidence; and renewal and material lapse notice. Insurance does not define or cap liability. State any negotiated direct-damages cap and exclusions expressly and apply Section 10.2; a fees-paid cap of zero is not permitted through a no-fee exchange. Coverage waivers or financial assurance alternatives require the affected public entity’s documented risk approval before access.</w:t>
      </w:r>
    </w:p>
    <w:p>
      <w:r>
        <w:rPr>
          <w:b/>
        </w:rPr>
        <w:t xml:space="preserve">G5 Required fields. </w:t>
      </w:r>
      <w:r>
        <w:t>Indemnifying Party and role: [Complete]. Protected Parties: [List]. Covered datasets/services: [List]. Existing equivalent contract: [None / identify exact provisions and beneficiaries]. Insurance and amounts: [Complete / expressly approved waiver]. Cap: [None / exact amount and approved exclusions]. Additional deviations: [None / exact text]. Governing law, lawful forum, effective period and continuing claim/coverage terms: [Complete].</w:t>
      </w:r>
    </w:p>
    <w:p>
      <w:r>
        <w:t>Private Party signature and title: _________________________  Date: __________</w:t>
      </w:r>
    </w:p>
    <w:p>
      <w:r>
        <w:t>Affected Participant signature and title: ____________________  Date: __________</w:t>
      </w:r>
    </w:p>
    <w:p>
      <w:r>
        <w:t>Authorized legal or risk approval: ________________________________________</w:t>
      </w:r>
    </w:p>
    <w:p>
      <w:r>
        <w:t>Repeat approvals for additional Protected Parties; no unlisted public entity is bound.</w:t>
      </w:r>
    </w:p>
    <w:sectPr w:rsidR="00FC693F" w:rsidRPr="0006063C" w:rsidSect="00034616">
      <w:footerReference w:type="default" r:id="rId9"/>
      <w:headerReference w:type="default" r:id="rId10"/>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Corridor Connect Universal Data Sharing Agreement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40"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100" w:line="240" w:lineRule="auto"/>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imes New Roman" w:hAnsi="Times New Roman"/>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Corridor Connect Universal Data Sharing Agreement</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