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INODE Public Sector Counsel Review</w:t>
      </w:r>
    </w:p>
    <w:p>
      <w:r>
        <w:t>Strengthened agreement version 2 • Research date: October 12, 2026</w:t>
      </w:r>
    </w:p>
    <w:p>
      <w:r>
        <w:rPr>
          <w:b/>
        </w:rPr>
        <w:t xml:space="preserve">Conclusion. </w:t>
      </w:r>
      <w:r>
        <w:t>Use a common master with mandatory public-entity jurisdiction riders and dataset schedules. A single universal clause cannot displace fifty states’ distinct contracting authority, public records, immunity, privacy and procurement requirements. Version 2 is a stronger review draft, not an execution-ready certification for every state.</w:t>
      </w:r>
    </w:p>
    <w:p>
      <w:r>
        <w:rPr>
          <w:b/>
        </w:rPr>
        <w:t xml:space="preserve">Role and scope. </w:t>
      </w:r>
      <w:r>
        <w:t>This is an attorney-general-style issue review, not an opinion issued by any attorney general or a representation that counsel in fifty states approved the agreement. The state roster is a targeted public-records source screening with state-specific follow-up questions. It is not a comprehensive fifty-state survey of every contracting, breach, privacy, AI, procurement, immunity, case-law or local-government rule. No state is marked legally cleared. Agency counsel must validate current enactments, controlling decisions and applicable mandatory forms before execution.</w:t>
      </w:r>
    </w:p>
    <w:p>
      <w:r>
        <w:rPr>
          <w:b/>
        </w:rPr>
        <w:t xml:space="preserve">Documents reviewed. </w:t>
      </w:r>
      <w:r>
        <w:t>INODE Universal Data Sharing Agreement (original); TETC TDM DUA R011 2026 08 Aug 23A DRAFT_CLEAN.docx; executed-data-sharing-agreement.pdf (Texas–Oklahoma); and workspace architecture, pooled-fund, infographic and stewardship materials. Proposed governance materials were treated as design context, not proof of an existing entity’s legal authority. The original draft remains unchanged.</w:t>
      </w:r>
    </w:p>
    <w:p>
      <w:r>
        <w:rPr>
          <w:b/>
        </w:rPr>
        <w:t xml:space="preserve">Principal changes. </w:t>
      </w:r>
      <w:r>
        <w:t>Version 2 clarifies formation of each Provider–Recipient contract; preserves public-entity defenses without extinguishing existing statutory remedies; removes the master’s blanket damages waiver; requires private-party risk terms; strengthens privacy, records access, incidents and retention; allows rapid correction of misleading INODE outputs while preserving source authority; and adds Attachments F and G.</w:t>
      </w:r>
    </w:p>
    <w:p>
      <w:r>
        <w:rPr>
          <w:b/>
        </w:rPr>
        <w:t xml:space="preserve">Not resolved by drafting. </w:t>
      </w:r>
      <w:r>
        <w:t>INODE’s legal contracting entity and operator, participant signature authority, agency approvals, funded service contracts, precise data inventory and source licenses, hosting and incident requirements, insurance limits, applicable forums and approved technology remain decisions for the actual parties. Bracketed fields are substantive prerequisites, not cosmetic blanks.</w:t>
      </w:r>
    </w:p>
    <w:p>
      <w:r>
        <w:rPr>
          <w:b/>
        </w:rPr>
        <w:t xml:space="preserve">Release status. </w:t>
      </w:r>
      <w:r>
        <w:t>Draft for agency counsel and risk review. Do not enable an affected controlled-data exchange until its executed dataset schedule, accepted jurisdiction riders, rights evidence, sensitive-data approvals and applicable commercial risk terms are complete. Public-data exchanges still require lawful authority and an identified license.</w:t>
      </w:r>
    </w:p>
    <w:p>
      <w:r>
        <w:br w:type="page"/>
      </w:r>
    </w:p>
    <w:p>
      <w:pPr>
        <w:pStyle w:val="Heading1"/>
      </w:pPr>
      <w:r>
        <w:t>Material issues and changes</w:t>
      </w:r>
    </w:p>
    <w:p>
      <w:r>
        <w:rPr>
          <w:b/>
        </w:rPr>
        <w:t xml:space="preserve">1. Contract formation — §§ 1.2, 10.8; A, B, F </w:t>
      </w:r>
      <w:r>
        <w:t>A new member’s accession could have been read as binding every existing member or allowing operational acceptance to alter public contracts. Version 2 distinguishes Operator–Participant accession from an expressly offered and authorized Provider–Recipient contract. Conflicting riders must be resolved before exchange.</w:t>
      </w:r>
    </w:p>
    <w:p>
      <w:r>
        <w:rPr>
          <w:b/>
        </w:rPr>
        <w:t xml:space="preserve">2. Authority, appropriations and sovereign defenses — §§ 9.1, 10.4–10.6; F </w:t>
      </w:r>
      <w:r>
        <w:t>A no-fee exchange still creates duties and may require governmental approval. The draft now prevents implied future funding, automatic renewal, public indemnity, compelled arbitration and forum consent. Nonappropriation permits prospective exit without penalty, while lawful accrued obligations survive. Existing statutory remedies remain available.</w:t>
      </w:r>
    </w:p>
    <w:p>
      <w:r>
        <w:rPr>
          <w:b/>
        </w:rPr>
        <w:t xml:space="preserve">3. Commercial liability — §§ 10.2–10.3; B12; G </w:t>
      </w:r>
      <w:r>
        <w:t>The original broad consequential-damages exclusion could undermine remedies for privacy, security and rights violations. It has been removed. Caps now require express approved terms and stated exceptions; no fee cannot silently mean zero liability. Private operator and provider risk terms are required where specified. Amounts, coverage and risk approval remain open.</w:t>
      </w:r>
    </w:p>
    <w:p>
      <w:r>
        <w:rPr>
          <w:b/>
        </w:rPr>
        <w:t xml:space="preserve">4. Records disclosure and outsourced records — §§ 3.2, 8.1–8.2; F </w:t>
      </w:r>
      <w:r>
        <w:t>Exchange classifications are not statutory exemptions. An agency custodian makes lawful disclosure decisions; provider consent cannot delay a statutory deadline. Operator search, export, metadata and preservation duties now support agency compliance, with applicable mandatory contractor provisions carried through.</w:t>
      </w:r>
    </w:p>
    <w:p>
      <w:r>
        <w:rPr>
          <w:b/>
        </w:rPr>
        <w:t xml:space="preserve">5. Sensitive information and lawful interstate disclosure — §§ 3.3–3.4, 3.8, 4.6; F </w:t>
      </w:r>
      <w:r>
        <w:t>Public availability, hashing, or provider consent does not establish authority for every reuse. The revision excludes specially protected records pending written clearance, requires independent recipient authority, limits identifiability and reconstruction risks, and specifies quarantine and counsel-directed handling of inadvertent protected data.</w:t>
      </w:r>
    </w:p>
    <w:p>
      <w:r>
        <w:rPr>
          <w:b/>
        </w:rPr>
        <w:t xml:space="preserve">6. Incidents and processors — §§ 5.1, 7.2; E, F </w:t>
      </w:r>
      <w:r>
        <w:t>The draft now requires enforceable contractor undertakings, sponsor/operator oversight, a 24-hour actual-or-reasonably-suspected incident route, unacknowledged-message escalation, active-containment updates and independent legal notification. Agency deadlines may be earlier. Required controls and reporting systems must be completed in riders.</w:t>
      </w:r>
    </w:p>
    <w:p>
      <w:r>
        <w:br w:type="page"/>
      </w:r>
    </w:p>
    <w:p>
      <w:pPr>
        <w:pStyle w:val="Heading1"/>
      </w:pPr>
      <w:r>
        <w:t>Operational protections and execution decisions</w:t>
      </w:r>
    </w:p>
    <w:p>
      <w:r>
        <w:rPr>
          <w:b/>
        </w:rPr>
        <w:t xml:space="preserve">7. Source authority and safe correction — §§ 6.4–6.5 </w:t>
      </w:r>
      <w:r>
        <w:t>Source ownership cannot force INODE to keep displaying unsafe or disproven output. The Operator may promptly label, retract or quarantine its distribution and processing, notify recipients and preserve an authorized audit trail. Only the Provider may authorize a source-system change. Stale and disproven corroboration must be reassessed.</w:t>
      </w:r>
    </w:p>
    <w:p>
      <w:r>
        <w:rPr>
          <w:b/>
        </w:rPr>
        <w:t xml:space="preserve">8. Retention, legal holds and exit — §§ 8.2, 8.5 </w:t>
      </w:r>
      <w:r>
        <w:t>Pending records requests, lawful retention and preservation obligations override ordinary contractual deletion. Licenses and records schedules must be reconciled before onboarding. Agency records cannot be held as security for payment; exports require no unapproved exit fee or release of claims.</w:t>
      </w:r>
    </w:p>
    <w:p>
      <w:r>
        <w:rPr>
          <w:b/>
        </w:rPr>
        <w:t xml:space="preserve">9. Accessibility and automated uses — §§ 7.3–7.4; F </w:t>
      </w:r>
      <w:r>
        <w:t>Hosted agency interfaces and public outputs need applicable accessibility standards, evidence and remediation. Current DOJ guidance reflects the April 2026 extension of technical compliance dates; identify the applicable date for each entity rather than copying the original 2024 dates. Agency AI and operating procedures remain required for consequential automated activity.</w:t>
      </w:r>
    </w:p>
    <w:p>
      <w:r>
        <w:rPr>
          <w:b/>
        </w:rPr>
        <w:t xml:space="preserve">10. Governance, oversight and competition — §§ 10.6, 10.10; F </w:t>
      </w:r>
      <w:r>
        <w:t>Working groups cannot bind state procurement or sovereign powers. Public meetings and records rules may reach governance activity. Audit and lawful oversight duties survive commercial confidentiality. Vendor-sensitive prices and bids must not become coordination channels. Structural changes need separate enabling-authority and compact analysis.</w:t>
      </w:r>
    </w:p>
    <w:p>
      <w:r>
        <w:t xml:space="preserve">Accessibility source: </w:t>
      </w:r>
      <w:hyperlink r:id="rId10">
        <w:r>
          <w:rPr>
            <w:color w:val="000000"/>
            <w:u w:val="single"/>
          </w:rPr>
          <w:t>DOJ current Title II web and mobile rule guidance</w:t>
        </w:r>
      </w:hyperlink>
    </w:p>
    <w:p>
      <w:r>
        <w:t xml:space="preserve">Special data sources: </w:t>
      </w:r>
      <w:hyperlink r:id="rId11">
        <w:r>
          <w:rPr>
            <w:color w:val="000000"/>
            <w:u w:val="single"/>
          </w:rPr>
          <w:t>18 U.S.C. § 2721 (DMV information)</w:t>
        </w:r>
      </w:hyperlink>
      <w:r>
        <w:t xml:space="preserve">; </w:t>
      </w:r>
      <w:hyperlink r:id="rId12">
        <w:r>
          <w:rPr>
            <w:color w:val="000000"/>
            <w:u w:val="single"/>
          </w:rPr>
          <w:t>23 U.S.C. § 407 (safety-study discovery protection)</w:t>
        </w:r>
      </w:hyperlink>
    </w:p>
    <w:p>
      <w:r>
        <w:rPr>
          <w:b/>
        </w:rPr>
        <w:t xml:space="preserve">Counsel’s required decisions. </w:t>
      </w:r>
      <w:r>
        <w:t>For each public entity: identify actual contracting and data-sharing authority; approve mandatory state contract terms and permitted forum; name the records custodian and statutory classifications; verify source and redisclosure rights; approve security, incident, hosting, accessibility and AI requirements; obtain procurement and risk approvals; and execute Attachment F. Resolve incompatible terms with each affected Provider or Recipient. Do not use one state’s rider as another state’s legal approval.</w:t>
      </w:r>
    </w:p>
    <w:p>
      <w:r>
        <w:rPr>
          <w:b/>
        </w:rPr>
        <w:t xml:space="preserve">Operator’s required decisions. </w:t>
      </w:r>
      <w:r>
        <w:t>Identify the actual INODE operator and contractual party, accountable security and records officers, rights-acceptance system and audit trail, processors and data locations, funded services, insurance and continuity arrangements. Complete Attachment G for private-party responsibilities and obtain affected parties’ approvals. The template does not establish these facts.</w:t>
      </w:r>
    </w:p>
    <w:p>
      <w:r>
        <w:br w:type="page"/>
      </w:r>
    </w:p>
    <w:p>
      <w:pPr>
        <w:pStyle w:val="Heading1"/>
      </w:pPr>
      <w:r>
        <w:t>50-state records screening: Alabama–Delaware</w:t>
      </w:r>
    </w:p>
    <w:p>
      <w:r>
        <w:t>Status for every entry: counsel verification required; not legal clearance. Each state also requires the contracting, privacy, security, procurement and authority review in Attachment F. Sources are official starting points; publication currency and later enactments must be checked before execution.</w:t>
      </w:r>
    </w:p>
    <w:p>
      <w:r>
        <w:rPr>
          <w:b/>
        </w:rPr>
        <w:t xml:space="preserve">Alabama </w:t>
      </w:r>
      <w:r>
        <w:t>The 2024 enrolled amendment changes requester terminology and procedures. Verify later amendments, the entity’s custodian process, response duties and exemptions; do not rely on older citizen-only descriptions.</w:t>
      </w:r>
    </w:p>
    <w:p>
      <w:pPr>
        <w:spacing w:after="160"/>
      </w:pPr>
      <w:r>
        <w:t xml:space="preserve">Official source: </w:t>
      </w:r>
      <w:hyperlink r:id="rId13">
        <w:r>
          <w:rPr>
            <w:color w:val="000000"/>
            <w:u w:val="single"/>
          </w:rPr>
          <w:t>State law or agency guidance</w:t>
        </w:r>
      </w:hyperlink>
    </w:p>
    <w:p>
      <w:r>
        <w:rPr>
          <w:b/>
        </w:rPr>
        <w:t xml:space="preserve">Alaska </w:t>
      </w:r>
      <w:r>
        <w:t>Review AS 40.25 disclosure exceptions and agency procedures; separate legally withheld information before release. Identify how the Operator will support agency review and usable production.</w:t>
      </w:r>
    </w:p>
    <w:p>
      <w:pPr>
        <w:spacing w:after="160"/>
      </w:pPr>
      <w:r>
        <w:t xml:space="preserve">Official source: </w:t>
      </w:r>
      <w:hyperlink r:id="rId14">
        <w:r>
          <w:rPr>
            <w:color w:val="000000"/>
            <w:u w:val="single"/>
          </w:rPr>
          <w:t>State law or agency guidance</w:t>
        </w:r>
      </w:hyperlink>
    </w:p>
    <w:p>
      <w:r>
        <w:rPr>
          <w:b/>
        </w:rPr>
        <w:t xml:space="preserve">Arizona </w:t>
      </w:r>
      <w:r>
        <w:t>Commercial-purpose request rules may affect fees and declarations. Counsel should distinguish a public-records request from an authorized sharing license and check downstream commercial reuse.</w:t>
      </w:r>
    </w:p>
    <w:p>
      <w:pPr>
        <w:spacing w:after="160"/>
      </w:pPr>
      <w:r>
        <w:t xml:space="preserve">Official source: </w:t>
      </w:r>
      <w:hyperlink r:id="rId15">
        <w:r>
          <w:rPr>
            <w:color w:val="000000"/>
            <w:u w:val="single"/>
          </w:rPr>
          <w:t>State law or agency guidance</w:t>
        </w:r>
      </w:hyperlink>
    </w:p>
    <w:p>
      <w:r>
        <w:rPr>
          <w:b/>
        </w:rPr>
        <w:t xml:space="preserve">Arkansas </w:t>
      </w:r>
      <w:r>
        <w:t>Confirm requester eligibility, custodian deadlines and any agency-specific exceptions. Contract confidentiality cannot replace a statutory exemption; identify records held by service providers.</w:t>
      </w:r>
    </w:p>
    <w:p>
      <w:pPr>
        <w:spacing w:after="160"/>
      </w:pPr>
      <w:r>
        <w:t xml:space="preserve">Official source: </w:t>
      </w:r>
      <w:hyperlink r:id="rId16">
        <w:r>
          <w:rPr>
            <w:color w:val="000000"/>
            <w:u w:val="single"/>
          </w:rPr>
          <w:t>State law or agency guidance</w:t>
        </w:r>
      </w:hyperlink>
    </w:p>
    <w:p>
      <w:r>
        <w:rPr>
          <w:b/>
        </w:rPr>
        <w:t xml:space="preserve">California </w:t>
      </w:r>
      <w:r>
        <w:t>Use the recodified CPRA provisions and applicable privacy rules. Determine disclosure, redaction and technical extraction duties; a publicly accessible record does not resolve all licensing or privacy questions.</w:t>
      </w:r>
    </w:p>
    <w:p>
      <w:pPr>
        <w:spacing w:after="160"/>
      </w:pPr>
      <w:r>
        <w:t xml:space="preserve">Official source: </w:t>
      </w:r>
      <w:hyperlink r:id="rId17">
        <w:r>
          <w:rPr>
            <w:color w:val="000000"/>
            <w:u w:val="single"/>
          </w:rPr>
          <w:t>State law or agency guidance</w:t>
        </w:r>
      </w:hyperlink>
    </w:p>
    <w:p>
      <w:r>
        <w:rPr>
          <w:b/>
        </w:rPr>
        <w:t xml:space="preserve">Colorado </w:t>
      </w:r>
      <w:r>
        <w:t>Confirm current CORA exceptions, electronic-record production and applicable response rules. Separately verify mandatory state fiscal terms and technology procurement approvals for the specific agency.</w:t>
      </w:r>
    </w:p>
    <w:p>
      <w:pPr>
        <w:spacing w:after="160"/>
      </w:pPr>
      <w:r>
        <w:t xml:space="preserve">Official source: </w:t>
      </w:r>
      <w:hyperlink r:id="rId18">
        <w:r>
          <w:rPr>
            <w:color w:val="000000"/>
            <w:u w:val="single"/>
          </w:rPr>
          <w:t>State law or agency guidance</w:t>
        </w:r>
      </w:hyperlink>
    </w:p>
    <w:p>
      <w:r>
        <w:rPr>
          <w:b/>
        </w:rPr>
        <w:t xml:space="preserve">Connecticut </w:t>
      </w:r>
      <w:r>
        <w:t>Review Chapter 14 definitions and disclosure exceptions for the actual entity and records. Identify any applicable governmental-function contractor duties and agency records procedures.</w:t>
      </w:r>
    </w:p>
    <w:p>
      <w:pPr>
        <w:spacing w:after="160"/>
      </w:pPr>
      <w:r>
        <w:t xml:space="preserve">Official source: </w:t>
      </w:r>
      <w:hyperlink r:id="rId19">
        <w:r>
          <w:rPr>
            <w:color w:val="000000"/>
            <w:u w:val="single"/>
          </w:rPr>
          <w:t>State law or agency guidance</w:t>
        </w:r>
      </w:hyperlink>
    </w:p>
    <w:p>
      <w:r>
        <w:rPr>
          <w:b/>
        </w:rPr>
        <w:t xml:space="preserve">Delaware </w:t>
      </w:r>
      <w:r>
        <w:t>Review the public-body definition for governance groups as well as disclosure exceptions. Crash and vehicle information needs separate transportation-law review before interstate sharing.</w:t>
      </w:r>
    </w:p>
    <w:p>
      <w:pPr>
        <w:spacing w:after="160"/>
      </w:pPr>
      <w:r>
        <w:t xml:space="preserve">Official source: </w:t>
      </w:r>
      <w:hyperlink r:id="rId20">
        <w:r>
          <w:rPr>
            <w:color w:val="000000"/>
            <w:u w:val="single"/>
          </w:rPr>
          <w:t>State law or agency guidance</w:t>
        </w:r>
      </w:hyperlink>
    </w:p>
    <w:p>
      <w:r>
        <w:br w:type="page"/>
      </w:r>
    </w:p>
    <w:p>
      <w:pPr>
        <w:pStyle w:val="Heading1"/>
      </w:pPr>
      <w:r>
        <w:t>50-state records screening: Florida–Kansas</w:t>
      </w:r>
    </w:p>
    <w:p>
      <w:r>
        <w:t>Status for every entry: counsel verification required; not legal clearance. Each state also requires the contracting, privacy, security, procurement and authority review in Attachment F. Sources are official starting points; publication currency and later enactments must be checked before execution.</w:t>
      </w:r>
    </w:p>
    <w:p>
      <w:r>
        <w:rPr>
          <w:b/>
        </w:rPr>
        <w:t xml:space="preserve">Florida </w:t>
      </w:r>
      <w:r>
        <w:t>When section 119.0701 applies, insert the prescribed prominent custodian notice and contractor record duties. Attachment F supplies a conditional provision; actual custodian contacts and applicable agency wording remain required.</w:t>
      </w:r>
    </w:p>
    <w:p>
      <w:pPr>
        <w:spacing w:after="160"/>
      </w:pPr>
      <w:r>
        <w:t xml:space="preserve">Official source: </w:t>
      </w:r>
      <w:hyperlink r:id="rId21">
        <w:r>
          <w:rPr>
            <w:color w:val="000000"/>
            <w:u w:val="single"/>
          </w:rPr>
          <w:t>State law or agency guidance</w:t>
        </w:r>
      </w:hyperlink>
    </w:p>
    <w:p>
      <w:r>
        <w:rPr>
          <w:b/>
        </w:rPr>
        <w:t xml:space="preserve">Georgia </w:t>
      </w:r>
      <w:r>
        <w:t>An agency must identify the applicable exemption when withholding. Complete prompt-response and records-production procedures; do not give a provider an unlimited contractual objection period.</w:t>
      </w:r>
    </w:p>
    <w:p>
      <w:pPr>
        <w:spacing w:after="160"/>
      </w:pPr>
      <w:r>
        <w:t xml:space="preserve">Official source: </w:t>
      </w:r>
      <w:hyperlink r:id="rId22">
        <w:r>
          <w:rPr>
            <w:color w:val="000000"/>
            <w:u w:val="single"/>
          </w:rPr>
          <w:t>State law or agency guidance</w:t>
        </w:r>
      </w:hyperlink>
    </w:p>
    <w:p>
      <w:r>
        <w:rPr>
          <w:b/>
        </w:rPr>
        <w:t xml:space="preserve">Hawaii </w:t>
      </w:r>
      <w:r>
        <w:t>Apply the UIPA to government records and examine applicable exceptions and personal-record rules. Document the receiving agency’s permissible use rather than treating provider permission as sufficient.</w:t>
      </w:r>
    </w:p>
    <w:p>
      <w:pPr>
        <w:spacing w:after="160"/>
      </w:pPr>
      <w:r>
        <w:t xml:space="preserve">Official source: </w:t>
      </w:r>
      <w:hyperlink r:id="rId23">
        <w:r>
          <w:rPr>
            <w:color w:val="000000"/>
            <w:u w:val="single"/>
          </w:rPr>
          <w:t>State law or agency guidance</w:t>
        </w:r>
      </w:hyperlink>
    </w:p>
    <w:p>
      <w:r>
        <w:rPr>
          <w:b/>
        </w:rPr>
        <w:t xml:space="preserve">Idaho </w:t>
      </w:r>
      <w:r>
        <w:t>Use the AG’s 2025 manual as an official starting point, then check later amendments and controlling law. Identify applicable exemptions, records-officer duties and appeal procedures.</w:t>
      </w:r>
    </w:p>
    <w:p>
      <w:pPr>
        <w:spacing w:after="160"/>
      </w:pPr>
      <w:r>
        <w:t xml:space="preserve">Official source: </w:t>
      </w:r>
      <w:hyperlink r:id="rId24">
        <w:r>
          <w:rPr>
            <w:color w:val="000000"/>
            <w:u w:val="single"/>
          </w:rPr>
          <w:t>State law or agency guidance</w:t>
        </w:r>
      </w:hyperlink>
    </w:p>
    <w:p>
      <w:r>
        <w:rPr>
          <w:b/>
        </w:rPr>
        <w:t xml:space="preserve">Illinois </w:t>
      </w:r>
      <w:r>
        <w:t>Review FOIA classifications, electronic production and records in contractors’ possession. Counsel must determine which INODE records relate to the agency’s functions and remain subject to access.</w:t>
      </w:r>
    </w:p>
    <w:p>
      <w:pPr>
        <w:spacing w:after="160"/>
      </w:pPr>
      <w:r>
        <w:t xml:space="preserve">Official source: </w:t>
      </w:r>
      <w:hyperlink r:id="rId25">
        <w:r>
          <w:rPr>
            <w:color w:val="000000"/>
            <w:u w:val="single"/>
          </w:rPr>
          <w:t>State law or agency guidance</w:t>
        </w:r>
      </w:hyperlink>
    </w:p>
    <w:p>
      <w:r>
        <w:rPr>
          <w:b/>
        </w:rPr>
        <w:t xml:space="preserve">Indiana </w:t>
      </w:r>
      <w:r>
        <w:t>The official APRA process illustrates custodian handling; it is not a substitute for a DOT’s own procedures. Identify IC 5-14-3 requirements and dataset-specific mandatory confidentiality.</w:t>
      </w:r>
    </w:p>
    <w:p>
      <w:pPr>
        <w:spacing w:after="160"/>
      </w:pPr>
      <w:r>
        <w:t xml:space="preserve">Official source: </w:t>
      </w:r>
      <w:hyperlink r:id="rId26">
        <w:r>
          <w:rPr>
            <w:color w:val="000000"/>
            <w:u w:val="single"/>
          </w:rPr>
          <w:t>State law or agency guidance</w:t>
        </w:r>
      </w:hyperlink>
    </w:p>
    <w:p>
      <w:r>
        <w:rPr>
          <w:b/>
        </w:rPr>
        <w:t xml:space="preserve">Iowa </w:t>
      </w:r>
      <w:r>
        <w:t>Chapter 22 addresses lawful custodians and government records, including records held elsewhere. Specify agency ownership, retrieval duties and lawful restrictions for hosted copies.</w:t>
      </w:r>
    </w:p>
    <w:p>
      <w:pPr>
        <w:spacing w:after="160"/>
      </w:pPr>
      <w:r>
        <w:t xml:space="preserve">Official source: </w:t>
      </w:r>
      <w:hyperlink r:id="rId27">
        <w:r>
          <w:rPr>
            <w:color w:val="000000"/>
            <w:u w:val="single"/>
          </w:rPr>
          <w:t>State law or agency guidance</w:t>
        </w:r>
      </w:hyperlink>
    </w:p>
    <w:p>
      <w:r>
        <w:rPr>
          <w:b/>
        </w:rPr>
        <w:t xml:space="preserve">Kansas </w:t>
      </w:r>
      <w:r>
        <w:t>Review current KORA definitions and section 45-221 exceptions. Identify when release is discretionary versus prohibited, and require segregation of releasable information.</w:t>
      </w:r>
    </w:p>
    <w:p>
      <w:pPr>
        <w:spacing w:after="160"/>
      </w:pPr>
      <w:r>
        <w:t xml:space="preserve">Official source: </w:t>
      </w:r>
      <w:hyperlink r:id="rId28">
        <w:r>
          <w:rPr>
            <w:color w:val="000000"/>
            <w:u w:val="single"/>
          </w:rPr>
          <w:t>State law or agency guidance</w:t>
        </w:r>
      </w:hyperlink>
    </w:p>
    <w:p>
      <w:r>
        <w:br w:type="page"/>
      </w:r>
    </w:p>
    <w:p>
      <w:pPr>
        <w:pStyle w:val="Heading1"/>
      </w:pPr>
      <w:r>
        <w:t>50-state records screening: Kentucky–Mississippi</w:t>
      </w:r>
    </w:p>
    <w:p>
      <w:r>
        <w:t>Status for every entry: counsel verification required; not legal clearance. Each state also requires the contracting, privacy, security, procurement and authority review in Attachment F. Sources are official starting points; publication currency and later enactments must be checked before execution.</w:t>
      </w:r>
    </w:p>
    <w:p>
      <w:r>
        <w:rPr>
          <w:b/>
        </w:rPr>
        <w:t xml:space="preserve">Kentucky </w:t>
      </w:r>
      <w:r>
        <w:t>Review KRS 61.878 exemptions with the agency’s applicable request rules. A dataset label cannot supply an exemption; counsel must address partial disclosure and sensitive records.</w:t>
      </w:r>
    </w:p>
    <w:p>
      <w:pPr>
        <w:spacing w:after="160"/>
      </w:pPr>
      <w:r>
        <w:t xml:space="preserve">Official source: </w:t>
      </w:r>
      <w:hyperlink r:id="rId29">
        <w:r>
          <w:rPr>
            <w:color w:val="000000"/>
            <w:u w:val="single"/>
          </w:rPr>
          <w:t>State law or agency guidance</w:t>
        </w:r>
      </w:hyperlink>
    </w:p>
    <w:p>
      <w:r>
        <w:rPr>
          <w:b/>
        </w:rPr>
        <w:t xml:space="preserve">Louisiana </w:t>
      </w:r>
      <w:r>
        <w:t>Title 44 reaches electronic public records. Identify the custodian, applicable exemptions, records retention and technical production responsibilities for data and operator logs.</w:t>
      </w:r>
    </w:p>
    <w:p>
      <w:pPr>
        <w:spacing w:after="160"/>
      </w:pPr>
      <w:r>
        <w:t xml:space="preserve">Official source: </w:t>
      </w:r>
      <w:hyperlink r:id="rId30">
        <w:r>
          <w:rPr>
            <w:color w:val="000000"/>
            <w:u w:val="single"/>
          </w:rPr>
          <w:t>State law or agency guidance</w:t>
        </w:r>
      </w:hyperlink>
    </w:p>
    <w:p>
      <w:r>
        <w:rPr>
          <w:b/>
        </w:rPr>
        <w:t xml:space="preserve">Maine </w:t>
      </w:r>
      <w:r>
        <w:t>Review FOAA public-record definitions and specific exceptions. Transportation and security exceptions require dataset-specific analysis rather than blanket confidential treatment of the exchange.</w:t>
      </w:r>
    </w:p>
    <w:p>
      <w:pPr>
        <w:spacing w:after="160"/>
      </w:pPr>
      <w:r>
        <w:t xml:space="preserve">Official source: </w:t>
      </w:r>
      <w:hyperlink r:id="rId31">
        <w:r>
          <w:rPr>
            <w:color w:val="000000"/>
            <w:u w:val="single"/>
          </w:rPr>
          <w:t>State law or agency guidance</w:t>
        </w:r>
      </w:hyperlink>
    </w:p>
    <w:p>
      <w:r>
        <w:rPr>
          <w:b/>
        </w:rPr>
        <w:t xml:space="preserve">Maryland </w:t>
      </w:r>
      <w:r>
        <w:t>Distinguish the official custodian from a person with physical custody. Contractual storage assignments should support the agency’s PIA duties and legally authorized decisions.</w:t>
      </w:r>
    </w:p>
    <w:p>
      <w:pPr>
        <w:spacing w:after="160"/>
      </w:pPr>
      <w:r>
        <w:t xml:space="preserve">Official source: </w:t>
      </w:r>
      <w:hyperlink r:id="rId32">
        <w:r>
          <w:rPr>
            <w:color w:val="000000"/>
            <w:u w:val="single"/>
          </w:rPr>
          <w:t>State law or agency guidance</w:t>
        </w:r>
      </w:hyperlink>
    </w:p>
    <w:p>
      <w:r>
        <w:rPr>
          <w:b/>
        </w:rPr>
        <w:t xml:space="preserve">Massachusetts </w:t>
      </w:r>
      <w:r>
        <w:t>Identify the records access officer and applicable response procedures. Provider consultation must fit legal deadlines; verify current amendments, exemptions and any required segregated production.</w:t>
      </w:r>
    </w:p>
    <w:p>
      <w:pPr>
        <w:spacing w:after="160"/>
      </w:pPr>
      <w:r>
        <w:t xml:space="preserve">Official source: </w:t>
      </w:r>
      <w:hyperlink r:id="rId33">
        <w:r>
          <w:rPr>
            <w:color w:val="000000"/>
            <w:u w:val="single"/>
          </w:rPr>
          <w:t>State law or agency guidance</w:t>
        </w:r>
      </w:hyperlink>
    </w:p>
    <w:p>
      <w:r>
        <w:rPr>
          <w:b/>
        </w:rPr>
        <w:t xml:space="preserve">Michigan </w:t>
      </w:r>
      <w:r>
        <w:t>Review the current FOIA text, written denial and exemption rules. Verify amendments after the published compilation and agency retention duties for distributed data and logs.</w:t>
      </w:r>
    </w:p>
    <w:p>
      <w:pPr>
        <w:spacing w:after="160"/>
      </w:pPr>
      <w:r>
        <w:t xml:space="preserve">Official source: </w:t>
      </w:r>
      <w:hyperlink r:id="rId34">
        <w:r>
          <w:rPr>
            <w:color w:val="000000"/>
            <w:u w:val="single"/>
          </w:rPr>
          <w:t>State law or agency guidance</w:t>
        </w:r>
      </w:hyperlink>
    </w:p>
    <w:p>
      <w:r>
        <w:rPr>
          <w:b/>
        </w:rPr>
        <w:t xml:space="preserve">Minnesota </w:t>
      </w:r>
      <w:r>
        <w:t>Subdivision 11 requires contract notice and applies Chapter 13 to private performance of government functions. Confirm statutory data classifications and lawful dissemination, including intergovernmental sharing; Attachment F supplies conditional notice.</w:t>
      </w:r>
    </w:p>
    <w:p>
      <w:pPr>
        <w:spacing w:after="160"/>
      </w:pPr>
      <w:r>
        <w:t xml:space="preserve">Official source: </w:t>
      </w:r>
      <w:hyperlink r:id="rId35">
        <w:r>
          <w:rPr>
            <w:color w:val="000000"/>
            <w:u w:val="single"/>
          </w:rPr>
          <w:t>State law or agency guidance</w:t>
        </w:r>
      </w:hyperlink>
    </w:p>
    <w:p>
      <w:r>
        <w:rPr>
          <w:b/>
        </w:rPr>
        <w:t xml:space="preserve">Mississippi </w:t>
      </w:r>
      <w:r>
        <w:t>Review the Public Records Act and specific confidentiality laws with agency counsel. Document request procedures and records-provider cooperation without inventing a contractual exemption.</w:t>
      </w:r>
    </w:p>
    <w:p>
      <w:pPr>
        <w:spacing w:after="160"/>
      </w:pPr>
      <w:r>
        <w:t xml:space="preserve">Official source: </w:t>
      </w:r>
      <w:hyperlink r:id="rId36">
        <w:r>
          <w:rPr>
            <w:color w:val="000000"/>
            <w:u w:val="single"/>
          </w:rPr>
          <w:t>State law or agency guidance</w:t>
        </w:r>
      </w:hyperlink>
    </w:p>
    <w:p>
      <w:r>
        <w:br w:type="page"/>
      </w:r>
    </w:p>
    <w:p>
      <w:pPr>
        <w:pStyle w:val="Heading1"/>
      </w:pPr>
      <w:r>
        <w:t>50-state records screening: Missouri–New York</w:t>
      </w:r>
    </w:p>
    <w:p>
      <w:r>
        <w:t>Status for every entry: counsel verification required; not legal clearance. Each state also requires the contracting, privacy, security, procurement and authority review in Attachment F. Sources are official starting points; publication currency and later enactments must be checked before execution.</w:t>
      </w:r>
    </w:p>
    <w:p>
      <w:r>
        <w:rPr>
          <w:b/>
        </w:rPr>
        <w:t xml:space="preserve">Missouri </w:t>
      </w:r>
      <w:r>
        <w:t>Apply current Sunshine Law definitions and exceptions to agency and governance records. Verify current versions rather than older section snapshots, and document permitted withholding decisions.</w:t>
      </w:r>
    </w:p>
    <w:p>
      <w:pPr>
        <w:spacing w:after="160"/>
      </w:pPr>
      <w:r>
        <w:t xml:space="preserve">Official source: </w:t>
      </w:r>
      <w:hyperlink r:id="rId37">
        <w:r>
          <w:rPr>
            <w:color w:val="000000"/>
            <w:u w:val="single"/>
          </w:rPr>
          <w:t>State law or agency guidance</w:t>
        </w:r>
      </w:hyperlink>
    </w:p>
    <w:p>
      <w:r>
        <w:rPr>
          <w:b/>
        </w:rPr>
        <w:t xml:space="preserve">Montana </w:t>
      </w:r>
      <w:r>
        <w:t>Review access rights and authorized safety or security protections alongside constitutional privacy requirements. Counsel must assess actual privacy and security facts for each sensitive dataset.</w:t>
      </w:r>
    </w:p>
    <w:p>
      <w:pPr>
        <w:spacing w:after="160"/>
      </w:pPr>
      <w:r>
        <w:t xml:space="preserve">Official source: </w:t>
      </w:r>
      <w:hyperlink r:id="rId38">
        <w:r>
          <w:rPr>
            <w:color w:val="000000"/>
            <w:u w:val="single"/>
          </w:rPr>
          <w:t>State law or agency guidance</w:t>
        </w:r>
      </w:hyperlink>
    </w:p>
    <w:p>
      <w:r>
        <w:rPr>
          <w:b/>
        </w:rPr>
        <w:t xml:space="preserve">Nebraska </w:t>
      </w:r>
      <w:r>
        <w:t>Government records may qualify regardless of physical form. Identify records belonging to the agency and applicable exceptions; operator custody should not frustrate production.</w:t>
      </w:r>
    </w:p>
    <w:p>
      <w:pPr>
        <w:spacing w:after="160"/>
      </w:pPr>
      <w:r>
        <w:t xml:space="preserve">Official source: </w:t>
      </w:r>
      <w:hyperlink r:id="rId39">
        <w:r>
          <w:rPr>
            <w:color w:val="000000"/>
            <w:u w:val="single"/>
          </w:rPr>
          <w:t>State law or agency guidance</w:t>
        </w:r>
      </w:hyperlink>
    </w:p>
    <w:p>
      <w:r>
        <w:rPr>
          <w:b/>
        </w:rPr>
        <w:t xml:space="preserve">Nevada </w:t>
      </w:r>
      <w:r>
        <w:t>Review Chapter 239 public-records duties and legally applicable confidentiality. Specify timely search, usable export and agency determination of disclosure for hosted records.</w:t>
      </w:r>
    </w:p>
    <w:p>
      <w:pPr>
        <w:spacing w:after="160"/>
      </w:pPr>
      <w:r>
        <w:t xml:space="preserve">Official source: </w:t>
      </w:r>
      <w:hyperlink r:id="rId40">
        <w:r>
          <w:rPr>
            <w:color w:val="000000"/>
            <w:u w:val="single"/>
          </w:rPr>
          <w:t>State law or agency guidance</w:t>
        </w:r>
      </w:hyperlink>
    </w:p>
    <w:p>
      <w:r>
        <w:rPr>
          <w:b/>
        </w:rPr>
        <w:t xml:space="preserve">New Hampshire </w:t>
      </w:r>
      <w:r>
        <w:t>Review RSA 91-A electronic access and response duties. DMV data additionally needs RSA 260:14 and federal DPPA review before permitted receipt or redisclosure.</w:t>
      </w:r>
    </w:p>
    <w:p>
      <w:pPr>
        <w:spacing w:after="160"/>
      </w:pPr>
      <w:r>
        <w:t xml:space="preserve">Official source: </w:t>
      </w:r>
      <w:hyperlink r:id="rId41">
        <w:r>
          <w:rPr>
            <w:color w:val="000000"/>
            <w:u w:val="single"/>
          </w:rPr>
          <w:t>State law or agency guidance</w:t>
        </w:r>
      </w:hyperlink>
    </w:p>
    <w:p>
      <w:r>
        <w:rPr>
          <w:b/>
        </w:rPr>
        <w:t xml:space="preserve">New Jersey </w:t>
      </w:r>
      <w:r>
        <w:t>Use the OPRA version reflecting the 2024 amendments and verify subsequent changes. Confirm current request procedures, exemptions and the entity’s handling of electronic data.</w:t>
      </w:r>
    </w:p>
    <w:p>
      <w:pPr>
        <w:spacing w:after="160"/>
      </w:pPr>
      <w:r>
        <w:t xml:space="preserve">Official source: </w:t>
      </w:r>
      <w:hyperlink r:id="rId42">
        <w:r>
          <w:rPr>
            <w:color w:val="000000"/>
            <w:u w:val="single"/>
          </w:rPr>
          <w:t>State law or agency guidance</w:t>
        </w:r>
      </w:hyperlink>
    </w:p>
    <w:p>
      <w:r>
        <w:rPr>
          <w:b/>
        </w:rPr>
        <w:t xml:space="preserve">New Mexico </w:t>
      </w:r>
      <w:r>
        <w:t>Review IPRA through the official DOJ guidance and controlling statutes. Identify the custodian, written response duties and narrow grounds for withholding particular records.</w:t>
      </w:r>
    </w:p>
    <w:p>
      <w:pPr>
        <w:spacing w:after="160"/>
      </w:pPr>
      <w:r>
        <w:t xml:space="preserve">Official source: </w:t>
      </w:r>
      <w:hyperlink r:id="rId43">
        <w:r>
          <w:rPr>
            <w:color w:val="000000"/>
            <w:u w:val="single"/>
          </w:rPr>
          <w:t>State law or agency guidance</w:t>
        </w:r>
      </w:hyperlink>
    </w:p>
    <w:p>
      <w:r>
        <w:rPr>
          <w:b/>
        </w:rPr>
        <w:t xml:space="preserve">New York </w:t>
      </w:r>
      <w:r>
        <w:t>Apply current FOIL exemptions and agency procedures. Separately incorporate the agency’s applicable mandatory state contract terms, approvals and appropriations language; the FOIL source alone does not clear procurement.</w:t>
      </w:r>
    </w:p>
    <w:p>
      <w:pPr>
        <w:spacing w:after="160"/>
      </w:pPr>
      <w:r>
        <w:t xml:space="preserve">Official source: </w:t>
      </w:r>
      <w:hyperlink r:id="rId44">
        <w:r>
          <w:rPr>
            <w:color w:val="000000"/>
            <w:u w:val="single"/>
          </w:rPr>
          <w:t>State law or agency guidance</w:t>
        </w:r>
      </w:hyperlink>
    </w:p>
    <w:p>
      <w:r>
        <w:br w:type="page"/>
      </w:r>
    </w:p>
    <w:p>
      <w:pPr>
        <w:pStyle w:val="Heading1"/>
      </w:pPr>
      <w:r>
        <w:t>50-state records screening: North Carolina–South Carolina</w:t>
      </w:r>
    </w:p>
    <w:p>
      <w:r>
        <w:t>Status for every entry: counsel verification required; not legal clearance. Each state also requires the contracting, privacy, security, procurement and authority review in Attachment F. Sources are official starting points; publication currency and later enactments must be checked before execution.</w:t>
      </w:r>
    </w:p>
    <w:p>
      <w:r>
        <w:rPr>
          <w:b/>
        </w:rPr>
        <w:t xml:space="preserve">North Carolina </w:t>
      </w:r>
      <w:r>
        <w:t>Chapter 132 contains public-record and specific protected-record rules. Verify effective session-law changes and legal bases for sharing traffic, security and personal data across states.</w:t>
      </w:r>
    </w:p>
    <w:p>
      <w:pPr>
        <w:spacing w:after="160"/>
      </w:pPr>
      <w:r>
        <w:t xml:space="preserve">Official source: </w:t>
      </w:r>
      <w:hyperlink r:id="rId45">
        <w:r>
          <w:rPr>
            <w:color w:val="000000"/>
            <w:u w:val="single"/>
          </w:rPr>
          <w:t>State law or agency guidance</w:t>
        </w:r>
      </w:hyperlink>
    </w:p>
    <w:p>
      <w:r>
        <w:rPr>
          <w:b/>
        </w:rPr>
        <w:t xml:space="preserve">North Dakota </w:t>
      </w:r>
      <w:r>
        <w:t>Review Chapter 44-04 confidentiality and exemption provisions as well as access duties. Distinguish records that may be withheld from records whose disclosure is prohibited.</w:t>
      </w:r>
    </w:p>
    <w:p>
      <w:pPr>
        <w:spacing w:after="160"/>
      </w:pPr>
      <w:r>
        <w:t xml:space="preserve">Official source: </w:t>
      </w:r>
      <w:hyperlink r:id="rId46">
        <w:r>
          <w:rPr>
            <w:color w:val="000000"/>
            <w:u w:val="single"/>
          </w:rPr>
          <w:t>State law or agency guidance</w:t>
        </w:r>
      </w:hyperlink>
    </w:p>
    <w:p>
      <w:r>
        <w:rPr>
          <w:b/>
        </w:rPr>
        <w:t xml:space="preserve">Ohio </w:t>
      </w:r>
      <w:r>
        <w:t>Use the current section 149.43 version and agency-specific exceptions. Document prompt production, redaction and retention duties rather than importing another state’s timing rules.</w:t>
      </w:r>
    </w:p>
    <w:p>
      <w:pPr>
        <w:spacing w:after="160"/>
      </w:pPr>
      <w:r>
        <w:t xml:space="preserve">Official source: </w:t>
      </w:r>
      <w:hyperlink r:id="rId47">
        <w:r>
          <w:rPr>
            <w:color w:val="000000"/>
            <w:u w:val="single"/>
          </w:rPr>
          <w:t>State law or agency guidance</w:t>
        </w:r>
      </w:hyperlink>
    </w:p>
    <w:p>
      <w:r>
        <w:rPr>
          <w:b/>
        </w:rPr>
        <w:t xml:space="preserve">Oklahoma </w:t>
      </w:r>
      <w:r>
        <w:t>Review the Open Records Act and applicable confidentiality with agency counsel. The executed Texas–Oklahoma example does not establish authority for every Oklahoma entity or new dataset.</w:t>
      </w:r>
    </w:p>
    <w:p>
      <w:pPr>
        <w:spacing w:after="160"/>
      </w:pPr>
      <w:r>
        <w:t xml:space="preserve">Official source: </w:t>
      </w:r>
      <w:hyperlink r:id="rId48">
        <w:r>
          <w:rPr>
            <w:color w:val="000000"/>
            <w:u w:val="single"/>
          </w:rPr>
          <w:t>State law or agency guidance</w:t>
        </w:r>
      </w:hyperlink>
    </w:p>
    <w:p>
      <w:r>
        <w:rPr>
          <w:b/>
        </w:rPr>
        <w:t xml:space="preserve">Oregon </w:t>
      </w:r>
      <w:r>
        <w:t>Review ORS Chapter 192 disclosure exceptions and records-management duties. Ensure operator copies, exports and deletion instructions align with the agency’s applicable retention schedule.</w:t>
      </w:r>
    </w:p>
    <w:p>
      <w:pPr>
        <w:spacing w:after="160"/>
      </w:pPr>
      <w:r>
        <w:t xml:space="preserve">Official source: </w:t>
      </w:r>
      <w:hyperlink r:id="rId49">
        <w:r>
          <w:rPr>
            <w:color w:val="000000"/>
            <w:u w:val="single"/>
          </w:rPr>
          <w:t>State law or agency guidance</w:t>
        </w:r>
      </w:hyperlink>
    </w:p>
    <w:p>
      <w:r>
        <w:rPr>
          <w:b/>
        </w:rPr>
        <w:t xml:space="preserve">Pennsylvania </w:t>
      </w:r>
      <w:r>
        <w:t>Review RTKL treatment of contractor-held records under section 506(d) and relevant decisions. Identify records directly relating to a governmental function and the proper agency request route.</w:t>
      </w:r>
    </w:p>
    <w:p>
      <w:pPr>
        <w:spacing w:after="160"/>
      </w:pPr>
      <w:r>
        <w:t xml:space="preserve">Official source: </w:t>
      </w:r>
      <w:hyperlink r:id="rId50">
        <w:r>
          <w:rPr>
            <w:color w:val="000000"/>
            <w:u w:val="single"/>
          </w:rPr>
          <w:t>State law or agency guidance</w:t>
        </w:r>
      </w:hyperlink>
    </w:p>
    <w:p>
      <w:r>
        <w:rPr>
          <w:b/>
        </w:rPr>
        <w:t xml:space="preserve">Rhode Island </w:t>
      </w:r>
      <w:r>
        <w:t>Review APRA definitions, including private actors working on behalf of an agency, and applicable privacy exceptions. Flow down retrieval and lawful disclosure duties to processors.</w:t>
      </w:r>
    </w:p>
    <w:p>
      <w:pPr>
        <w:spacing w:after="160"/>
      </w:pPr>
      <w:r>
        <w:t xml:space="preserve">Official source: </w:t>
      </w:r>
      <w:hyperlink r:id="rId51">
        <w:r>
          <w:rPr>
            <w:color w:val="000000"/>
            <w:u w:val="single"/>
          </w:rPr>
          <w:t>State law or agency guidance</w:t>
        </w:r>
      </w:hyperlink>
    </w:p>
    <w:p>
      <w:r>
        <w:rPr>
          <w:b/>
        </w:rPr>
        <w:t xml:space="preserve">South Carolina </w:t>
      </w:r>
      <w:r>
        <w:t>Review FOIA public-body definitions and exceptions, including governance structures involving public resources. Establish lawful records and meeting procedures without promising blanket confidentiality.</w:t>
      </w:r>
    </w:p>
    <w:p>
      <w:pPr>
        <w:spacing w:after="160"/>
      </w:pPr>
      <w:r>
        <w:t xml:space="preserve">Official source: </w:t>
      </w:r>
      <w:hyperlink r:id="rId52">
        <w:r>
          <w:rPr>
            <w:color w:val="000000"/>
            <w:u w:val="single"/>
          </w:rPr>
          <w:t>State law or agency guidance</w:t>
        </w:r>
      </w:hyperlink>
    </w:p>
    <w:p>
      <w:r>
        <w:br w:type="page"/>
      </w:r>
    </w:p>
    <w:p>
      <w:pPr>
        <w:pStyle w:val="Heading1"/>
      </w:pPr>
      <w:r>
        <w:t>50-state records screening: South Dakota–West Virginia</w:t>
      </w:r>
    </w:p>
    <w:p>
      <w:r>
        <w:t>Status for every entry: counsel verification required; not legal clearance. Each state also requires the contracting, privacy, security, procurement and authority review in Attachment F. Sources are official starting points; publication currency and later enactments must be checked before execution.</w:t>
      </w:r>
    </w:p>
    <w:p>
      <w:r>
        <w:rPr>
          <w:b/>
        </w:rPr>
        <w:t xml:space="preserve">South Dakota </w:t>
      </w:r>
      <w:r>
        <w:t>Review Chapter 1-27 access and confidentiality provisions, including applicable proprietary-data treatment. Require a specific legal basis and segregated handling for protected portions.</w:t>
      </w:r>
    </w:p>
    <w:p>
      <w:pPr>
        <w:spacing w:after="160"/>
      </w:pPr>
      <w:r>
        <w:t xml:space="preserve">Official source: </w:t>
      </w:r>
      <w:hyperlink r:id="rId53">
        <w:r>
          <w:rPr>
            <w:color w:val="000000"/>
            <w:u w:val="single"/>
          </w:rPr>
          <w:t>State law or agency guidance</w:t>
        </w:r>
      </w:hyperlink>
    </w:p>
    <w:p>
      <w:r>
        <w:rPr>
          <w:b/>
        </w:rPr>
        <w:t xml:space="preserve">Tennessee </w:t>
      </w:r>
      <w:r>
        <w:t>Confirm TPRA requester requirements and the agency’s written records policy. Identify the records custodian and routing; INODE is not a substitute for the legally responsible agency.</w:t>
      </w:r>
    </w:p>
    <w:p>
      <w:pPr>
        <w:spacing w:after="160"/>
      </w:pPr>
      <w:r>
        <w:t xml:space="preserve">Official source: </w:t>
      </w:r>
      <w:hyperlink r:id="rId54">
        <w:r>
          <w:rPr>
            <w:color w:val="000000"/>
            <w:u w:val="single"/>
          </w:rPr>
          <w:t>State law or agency guidance</w:t>
        </w:r>
      </w:hyperlink>
    </w:p>
    <w:p>
      <w:r>
        <w:rPr>
          <w:b/>
        </w:rPr>
        <w:t xml:space="preserve">Texas </w:t>
      </w:r>
      <w:r>
        <w:t>Review Chapter 552 procedures, including applicable third-party notice under section 552.305. Vendor consultation cannot extend statutory deadlines or bypass required attorney general decision procedures.</w:t>
      </w:r>
    </w:p>
    <w:p>
      <w:pPr>
        <w:spacing w:after="160"/>
      </w:pPr>
      <w:r>
        <w:t xml:space="preserve">Official source: </w:t>
      </w:r>
      <w:hyperlink r:id="rId55">
        <w:r>
          <w:rPr>
            <w:color w:val="000000"/>
            <w:u w:val="single"/>
          </w:rPr>
          <w:t>State law or agency guidance</w:t>
        </w:r>
      </w:hyperlink>
    </w:p>
    <w:p>
      <w:r>
        <w:rPr>
          <w:b/>
        </w:rPr>
        <w:t xml:space="preserve">Utah </w:t>
      </w:r>
      <w:r>
        <w:t>Section 63G-2-206 governs conditions for certain record sharing. Verify lawful recipient, classification, written conditions and redisclosure before exchange; confidentiality is not itself sharing authority.</w:t>
      </w:r>
    </w:p>
    <w:p>
      <w:pPr>
        <w:spacing w:after="160"/>
      </w:pPr>
      <w:r>
        <w:t xml:space="preserve">Official source: </w:t>
      </w:r>
      <w:hyperlink r:id="rId56">
        <w:r>
          <w:rPr>
            <w:color w:val="000000"/>
            <w:u w:val="single"/>
          </w:rPr>
          <w:t>State law or agency guidance</w:t>
        </w:r>
      </w:hyperlink>
    </w:p>
    <w:p>
      <w:r>
        <w:rPr>
          <w:b/>
        </w:rPr>
        <w:t xml:space="preserve">Vermont </w:t>
      </w:r>
      <w:r>
        <w:t>Review section 317 exceptions and current amendments with agency counsel. Identify public and exempt fields, requester procedures and lawful downstream rights separately.</w:t>
      </w:r>
    </w:p>
    <w:p>
      <w:pPr>
        <w:spacing w:after="160"/>
      </w:pPr>
      <w:r>
        <w:t xml:space="preserve">Official source: </w:t>
      </w:r>
      <w:hyperlink r:id="rId57">
        <w:r>
          <w:rPr>
            <w:color w:val="000000"/>
            <w:u w:val="single"/>
          </w:rPr>
          <w:t>State law or agency guidance</w:t>
        </w:r>
      </w:hyperlink>
    </w:p>
    <w:p>
      <w:r>
        <w:rPr>
          <w:b/>
        </w:rPr>
        <w:t xml:space="preserve">Virginia </w:t>
      </w:r>
      <w:r>
        <w:t>Mixed records require attention to releasable portions rather than blanket withholding. Check requester eligibility, response duties and transportation-specific exceptions in the completed rider.</w:t>
      </w:r>
    </w:p>
    <w:p>
      <w:pPr>
        <w:spacing w:after="160"/>
      </w:pPr>
      <w:r>
        <w:t xml:space="preserve">Official source: </w:t>
      </w:r>
      <w:hyperlink r:id="rId58">
        <w:r>
          <w:rPr>
            <w:color w:val="000000"/>
            <w:u w:val="single"/>
          </w:rPr>
          <w:t>State law or agency guidance</w:t>
        </w:r>
      </w:hyperlink>
    </w:p>
    <w:p>
      <w:r>
        <w:rPr>
          <w:b/>
        </w:rPr>
        <w:t xml:space="preserve">Washington </w:t>
      </w:r>
      <w:r>
        <w:t>Review PRA exemptions and required treatment of identifying details. Agency policies and specific protected-data laws must govern production and sharing rather than exchange labels alone.</w:t>
      </w:r>
    </w:p>
    <w:p>
      <w:pPr>
        <w:spacing w:after="160"/>
      </w:pPr>
      <w:r>
        <w:t xml:space="preserve">Official source: </w:t>
      </w:r>
      <w:hyperlink r:id="rId59">
        <w:r>
          <w:rPr>
            <w:color w:val="000000"/>
            <w:u w:val="single"/>
          </w:rPr>
          <w:t>State law or agency guidance</w:t>
        </w:r>
      </w:hyperlink>
    </w:p>
    <w:p>
      <w:r>
        <w:rPr>
          <w:b/>
        </w:rPr>
        <w:t xml:space="preserve">West Virginia </w:t>
      </w:r>
      <w:r>
        <w:t>The FOIA policy favors access; this source is a starting point rather than the full operative chapter. Counsel must verify exemptions, deadlines and agency procedures before execution.</w:t>
      </w:r>
    </w:p>
    <w:p>
      <w:pPr>
        <w:spacing w:after="160"/>
      </w:pPr>
      <w:r>
        <w:t xml:space="preserve">Official source: </w:t>
      </w:r>
      <w:hyperlink r:id="rId60">
        <w:r>
          <w:rPr>
            <w:color w:val="000000"/>
            <w:u w:val="single"/>
          </w:rPr>
          <w:t>State law or agency guidance</w:t>
        </w:r>
      </w:hyperlink>
    </w:p>
    <w:p>
      <w:r>
        <w:br w:type="page"/>
      </w:r>
    </w:p>
    <w:p>
      <w:pPr>
        <w:pStyle w:val="Heading1"/>
      </w:pPr>
      <w:r>
        <w:t>50-state records screening: Wisconsin–Wyoming</w:t>
      </w:r>
    </w:p>
    <w:p>
      <w:r>
        <w:t>Status for every entry: counsel verification required; not legal clearance. Each state also requires the contracting, privacy, security, procurement and authority review in Attachment F. Sources are official starting points; publication currency and later enactments must be checked before execution.</w:t>
      </w:r>
    </w:p>
    <w:p>
      <w:r>
        <w:rPr>
          <w:b/>
        </w:rPr>
        <w:t xml:space="preserve">Wisconsin </w:t>
      </w:r>
      <w:r>
        <w:t>Use the official June 2025 public-records guide and check subsequent law. Do not import another state’s fixed response period; verify balancing, exemptions and custodian duties.</w:t>
      </w:r>
    </w:p>
    <w:p>
      <w:pPr>
        <w:spacing w:after="160"/>
      </w:pPr>
      <w:r>
        <w:t xml:space="preserve">Official source: </w:t>
      </w:r>
      <w:hyperlink r:id="rId61">
        <w:r>
          <w:rPr>
            <w:color w:val="000000"/>
            <w:u w:val="single"/>
          </w:rPr>
          <w:t>State law or agency guidance</w:t>
        </w:r>
      </w:hyperlink>
    </w:p>
    <w:p>
      <w:r>
        <w:rPr>
          <w:b/>
        </w:rPr>
        <w:t xml:space="preserve">Wyoming </w:t>
      </w:r>
      <w:r>
        <w:t>Review current Title 16 public-records provisions, including response and review procedures. Separately assess enacted 2026 personal-data changes and their effective scope; an introduced bill is not proof of current law.</w:t>
      </w:r>
    </w:p>
    <w:p>
      <w:pPr>
        <w:spacing w:after="160"/>
      </w:pPr>
      <w:r>
        <w:t xml:space="preserve">Official source: </w:t>
      </w:r>
      <w:hyperlink r:id="rId62">
        <w:r>
          <w:rPr>
            <w:color w:val="000000"/>
            <w:u w:val="single"/>
          </w:rPr>
          <w:t>State law or agency guidance</w:t>
        </w:r>
      </w:hyperlink>
    </w:p>
    <w:p>
      <w:r>
        <w:br w:type="page"/>
      </w:r>
    </w:p>
    <w:p>
      <w:pPr>
        <w:pStyle w:val="Heading1"/>
      </w:pPr>
      <w:r>
        <w:t>Source reconciliation and use of this review</w:t>
      </w:r>
    </w:p>
    <w:p>
      <w:r>
        <w:rPr>
          <w:b/>
        </w:rPr>
        <w:t xml:space="preserve">TETC draft. </w:t>
      </w:r>
      <w:r>
        <w:t>The original model’s rights-holder permissions, eligible recipients, contractor controls, derivative permissions and vendor conditions informed the master. Vendor terms remain dataset-specific and do not carry automatically to INODE. The source’s broad damage limitation was not retained as a public-sector default. Portal feedback rights and vendor branding terms must be stated expressly if adopted.</w:t>
      </w:r>
    </w:p>
    <w:p>
      <w:r>
        <w:rPr>
          <w:b/>
        </w:rPr>
        <w:t xml:space="preserve">Executed Texas–Oklahoma agreement. </w:t>
      </w:r>
      <w:r>
        <w:t>Its public-data baseline, reciprocal structure, source ownership, sovereign protection, five-year term and exit approach informed the master. Texas-specific statutory clauses and an existing agency’s signature authority cannot be generalized to all participants. INODE’s operator and additional participants require their own authority and terms.</w:t>
      </w:r>
    </w:p>
    <w:p>
      <w:r>
        <w:rPr>
          <w:b/>
        </w:rPr>
        <w:t xml:space="preserve">Workspace governance resources. </w:t>
      </w:r>
      <w:r>
        <w:t>Source authority, lineage, additive quality evidence, normalization, correction loops, rights brokerage and exit portability were preserved. The revision clarifies that source authority does not veto withdrawal of INODE’s own misleading output. Proposed stewardship arrangements remain proposals until legally established and authorized.</w:t>
      </w:r>
    </w:p>
    <w:p>
      <w:r>
        <w:rPr>
          <w:b/>
        </w:rPr>
        <w:t xml:space="preserve">Reading the state roster. </w:t>
      </w:r>
      <w:r>
        <w:t>A source link supports the identified public-records topic, not every instruction in the agreement. Follow-up questions are drafting recommendations and legal-review assignments. Official manuals and agency request pages are guidance or examples; controlling statutes and decisions prevail. Published compilations may lag later enactments. No blanket conclusion was made that state consumer privacy statutes apply to every governmental body or exempt every contractor.</w:t>
      </w:r>
    </w:p>
    <w:p>
      <w:r>
        <w:rPr>
          <w:b/>
        </w:rPr>
        <w:t xml:space="preserve">Completion and reuse. </w:t>
      </w:r>
      <w:r>
        <w:t>Retain a signed master and accession record, each executed jurisdiction rider, dataset schedule and rights evidence, contractor undertaking and applicable commercial risk attachment. Record versions and acceptance. A new dataset, operator, sensitive-data use, material technology change or changed law requires an updated assessment. Reuse the common text only with participant-specific approvals, not as a substitute for them.</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INODE Public Sector Counsel Review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40"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00" w:line="240" w:lineRule="auto"/>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imes New Roman" w:hAnsi="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ada.gov/resources/2024-03-08-web-rule/" TargetMode="External"/><Relationship Id="rId11" Type="http://schemas.openxmlformats.org/officeDocument/2006/relationships/hyperlink" Target="https://uscode.house.gov/view.xhtml?req=(title:18%20section:2721%20edition:prelim)" TargetMode="External"/><Relationship Id="rId12" Type="http://schemas.openxmlformats.org/officeDocument/2006/relationships/hyperlink" Target="https://usc-cdn.house.gov/view.xhtml?edition=prelim&amp;num=0&amp;req=granuleid:USC-prelim-title23-section407" TargetMode="External"/><Relationship Id="rId13" Type="http://schemas.openxmlformats.org/officeDocument/2006/relationships/hyperlink" Target="https://alison.legislature.state.al.us/files/pdf/SearchableInstruments/2024RS/SB270-enr.pdf" TargetMode="External"/><Relationship Id="rId14" Type="http://schemas.openxmlformats.org/officeDocument/2006/relationships/hyperlink" Target="https://law.alaska.gov/doclibrary/APRA.html" TargetMode="External"/><Relationship Id="rId15" Type="http://schemas.openxmlformats.org/officeDocument/2006/relationships/hyperlink" Target="https://www.azleg.gov/ars/39/00121-03.htm" TargetMode="External"/><Relationship Id="rId16" Type="http://schemas.openxmlformats.org/officeDocument/2006/relationships/hyperlink" Target="https://arkansasag.gov/divisions/opinions-foia/arkansas-freedom-of-information-act/" TargetMode="External"/><Relationship Id="rId17" Type="http://schemas.openxmlformats.org/officeDocument/2006/relationships/hyperlink" Target="https://leginfo.legislature.ca.gov/faces/codes_displaySection.xhtml?sectionNum=7922.525.&amp;lawCode=GOV" TargetMode="External"/><Relationship Id="rId18" Type="http://schemas.openxmlformats.org/officeDocument/2006/relationships/hyperlink" Target="https://content.leg.colorado.gov/publications/colorado-law-summary-colorado-open-records-act-cora" TargetMode="External"/><Relationship Id="rId19" Type="http://schemas.openxmlformats.org/officeDocument/2006/relationships/hyperlink" Target="https://www.cga.ct.gov/current/pub/chap_014.htm" TargetMode="External"/><Relationship Id="rId20" Type="http://schemas.openxmlformats.org/officeDocument/2006/relationships/hyperlink" Target="https://www.delcode.delaware.gov/title29/c100/index.html" TargetMode="External"/><Relationship Id="rId21" Type="http://schemas.openxmlformats.org/officeDocument/2006/relationships/hyperlink" Target="https://www.leg.state.fl.us/Statutes/index.cfm?App_mode=Display_Statute&amp;URL=0100-0199/0119/Sections/0119.0701.html" TargetMode="External"/><Relationship Id="rId22" Type="http://schemas.openxmlformats.org/officeDocument/2006/relationships/hyperlink" Target="https://law.georgia.gov/key-issues/open-government/how-make-open-records-request" TargetMode="External"/><Relationship Id="rId23" Type="http://schemas.openxmlformats.org/officeDocument/2006/relationships/hyperlink" Target="https://ags.hawaii.gov/oip/uipa/" TargetMode="External"/><Relationship Id="rId24" Type="http://schemas.openxmlformats.org/officeDocument/2006/relationships/hyperlink" Target="https://www.ag.idaho.gov/content/uploads/2025/08/PublicRecordsLawManual.pdf" TargetMode="External"/><Relationship Id="rId25" Type="http://schemas.openxmlformats.org/officeDocument/2006/relationships/hyperlink" Target="https://www.ilga.gov/legislation/ILCS/Articles?ActID=85&amp;ChapterID=2" TargetMode="External"/><Relationship Id="rId26" Type="http://schemas.openxmlformats.org/officeDocument/2006/relationships/hyperlink" Target="https://www.in.gov/tos/public-information-requests/" TargetMode="External"/><Relationship Id="rId27" Type="http://schemas.openxmlformats.org/officeDocument/2006/relationships/hyperlink" Target="https://www.legis.iowa.gov/docs/code/22.pdf" TargetMode="External"/><Relationship Id="rId28" Type="http://schemas.openxmlformats.org/officeDocument/2006/relationships/hyperlink" Target="https://www.kslegislature.gov/b2025_26/laws/045_000_0000_chapter/045_002_0000_article/" TargetMode="External"/><Relationship Id="rId29" Type="http://schemas.openxmlformats.org/officeDocument/2006/relationships/hyperlink" Target="https://apps.legislature.ky.gov/law/Statutes/statute.aspx?id=56330" TargetMode="External"/><Relationship Id="rId30" Type="http://schemas.openxmlformats.org/officeDocument/2006/relationships/hyperlink" Target="https://www.legis.la.gov/legis/Law.aspx?d=99632" TargetMode="External"/><Relationship Id="rId31" Type="http://schemas.openxmlformats.org/officeDocument/2006/relationships/hyperlink" Target="https://legislature.maine.gov/statutes/1/title1sec402.html" TargetMode="External"/><Relationship Id="rId32" Type="http://schemas.openxmlformats.org/officeDocument/2006/relationships/hyperlink" Target="https://www.mgaleg.maryland.gov/mgawebsite/Laws/StatuteText?article=ggp&amp;enactments=false&amp;section=4-101" TargetMode="External"/><Relationship Id="rId33" Type="http://schemas.openxmlformats.org/officeDocument/2006/relationships/hyperlink" Target="https://malegislature.gov/Laws/GeneralLaws/PartI/TitleX/Chapter66/Section10" TargetMode="External"/><Relationship Id="rId34" Type="http://schemas.openxmlformats.org/officeDocument/2006/relationships/hyperlink" Target="https://www.legislature.mi.gov/documents/mcl/pdf/mcl-act-442-of-1976.pdf" TargetMode="External"/><Relationship Id="rId35" Type="http://schemas.openxmlformats.org/officeDocument/2006/relationships/hyperlink" Target="https://www.revisor.mn.gov/statutes/cite/13.05" TargetMode="External"/><Relationship Id="rId36" Type="http://schemas.openxmlformats.org/officeDocument/2006/relationships/hyperlink" Target="https://www.ethics.ms.gov/thepublicrecordact" TargetMode="External"/><Relationship Id="rId37" Type="http://schemas.openxmlformats.org/officeDocument/2006/relationships/hyperlink" Target="https://revisor.mo.gov/main/OneChapterRng.aspx?tb1=610.010+to+610.115" TargetMode="External"/><Relationship Id="rId38" Type="http://schemas.openxmlformats.org/officeDocument/2006/relationships/hyperlink" Target="https://mca.legmt.gov/bills/mca/title_0020/chapter_0060/part_0100/section_0030/0020-0060-0100-0030.html" TargetMode="External"/><Relationship Id="rId39" Type="http://schemas.openxmlformats.org/officeDocument/2006/relationships/hyperlink" Target="https://www.nebraskalegislature.gov/laws/statutes.php?statute=84-712.01" TargetMode="External"/><Relationship Id="rId40" Type="http://schemas.openxmlformats.org/officeDocument/2006/relationships/hyperlink" Target="https://www.leg.state.nv.us/division/legal/lawlibrary/nrs/NRS-239.html" TargetMode="External"/><Relationship Id="rId41" Type="http://schemas.openxmlformats.org/officeDocument/2006/relationships/hyperlink" Target="https://gc.nh.gov/rsa/html/VI/91-A/91-A-4.htm" TargetMode="External"/><Relationship Id="rId42" Type="http://schemas.openxmlformats.org/officeDocument/2006/relationships/hyperlink" Target="https://www.nj.gov/grc/laws/act/" TargetMode="External"/><Relationship Id="rId43" Type="http://schemas.openxmlformats.org/officeDocument/2006/relationships/hyperlink" Target="https://nmdoj.gov/get-help/inspection-of-public-records-act/" TargetMode="External"/><Relationship Id="rId44" Type="http://schemas.openxmlformats.org/officeDocument/2006/relationships/hyperlink" Target="https://www.nysenate.gov/legislation/laws/PBO/87" TargetMode="External"/><Relationship Id="rId45" Type="http://schemas.openxmlformats.org/officeDocument/2006/relationships/hyperlink" Target="https://www.ncleg.gov/Laws/GeneralStatuteSections/Chapter132" TargetMode="External"/><Relationship Id="rId46" Type="http://schemas.openxmlformats.org/officeDocument/2006/relationships/hyperlink" Target="https://ndlegis.gov/cencode/t44c04.html" TargetMode="External"/><Relationship Id="rId47" Type="http://schemas.openxmlformats.org/officeDocument/2006/relationships/hyperlink" Target="https://codes.ohio.gov/ohio-revised-code/section-149.43" TargetMode="External"/><Relationship Id="rId48" Type="http://schemas.openxmlformats.org/officeDocument/2006/relationships/hyperlink" Target="https://www.oklahoma.gov/oag/news/open-records-request.html" TargetMode="External"/><Relationship Id="rId49" Type="http://schemas.openxmlformats.org/officeDocument/2006/relationships/hyperlink" Target="https://www.oregonlegislature.gov/bills_laws/ors/ors192.html" TargetMode="External"/><Relationship Id="rId50" Type="http://schemas.openxmlformats.org/officeDocument/2006/relationships/hyperlink" Target="https://www.openrecords.pa.gov/rtkl/about.cfm" TargetMode="External"/><Relationship Id="rId51" Type="http://schemas.openxmlformats.org/officeDocument/2006/relationships/hyperlink" Target="https://webserver.rilegislature.gov/statutes/title38/38-2/38-2-2.HTM" TargetMode="External"/><Relationship Id="rId52" Type="http://schemas.openxmlformats.org/officeDocument/2006/relationships/hyperlink" Target="https://www.scstatehouse.gov/code/t30c004.php" TargetMode="External"/><Relationship Id="rId53" Type="http://schemas.openxmlformats.org/officeDocument/2006/relationships/hyperlink" Target="https://www.sdlegislature.gov/api/Statutes/1-27.html" TargetMode="External"/><Relationship Id="rId54" Type="http://schemas.openxmlformats.org/officeDocument/2006/relationships/hyperlink" Target="https://comptroller.tn.gov/office-functions/open-records-counsel/open-meetings/frequently-asked-questions/tennessee-public-records-act-faqs.html" TargetMode="External"/><Relationship Id="rId55" Type="http://schemas.openxmlformats.org/officeDocument/2006/relationships/hyperlink" Target="https://statutes.capitol.texas.gov/docviewer/?docName=GV.552.htm" TargetMode="External"/><Relationship Id="rId56" Type="http://schemas.openxmlformats.org/officeDocument/2006/relationships/hyperlink" Target="https://le.utah.gov/xcode/Title63G/Chapter2/C63G-2-S206_2026050620260506.pdf" TargetMode="External"/><Relationship Id="rId57" Type="http://schemas.openxmlformats.org/officeDocument/2006/relationships/hyperlink" Target="https://legislature.vermont.gov/statutes/section/01/005/00317" TargetMode="External"/><Relationship Id="rId58" Type="http://schemas.openxmlformats.org/officeDocument/2006/relationships/hyperlink" Target="https://law.lis.virginia.gov/vacode/title2.2/chapter37/section2.2-3704.01/" TargetMode="External"/><Relationship Id="rId59" Type="http://schemas.openxmlformats.org/officeDocument/2006/relationships/hyperlink" Target="https://app.leg.wa.gov/RCW/default.aspx?cite=42.56.070" TargetMode="External"/><Relationship Id="rId60" Type="http://schemas.openxmlformats.org/officeDocument/2006/relationships/hyperlink" Target="https://code.wvlegislature.gov/29b-1-1/" TargetMode="External"/><Relationship Id="rId61" Type="http://schemas.openxmlformats.org/officeDocument/2006/relationships/hyperlink" Target="https://www.wisdoj.gov/Open%20Government/PRL%20Guide%20June%202025.pdf" TargetMode="External"/><Relationship Id="rId62" Type="http://schemas.openxmlformats.org/officeDocument/2006/relationships/hyperlink" Target="https://www.wyoleg.gov/statutes/compress/title1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INODE Public Sector Counsel Review</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