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INODE Universal Data Sharing Agreement</w:t>
      </w:r>
    </w:p>
    <w:p>
      <w:r>
        <w:t>Master agreement for transportation data providers, recipients, and the INODE exchange operator</w:t>
      </w:r>
    </w:p>
    <w:p>
      <w:r>
        <w:t>Agreement number: [Complete]    Version: [Complete]    Effective date: [Complete]</w:t>
      </w:r>
    </w:p>
    <w:p>
      <w:pPr>
        <w:pStyle w:val="Heading1"/>
      </w:pPr>
      <w:r>
        <w:t>1 Parties and purpose</w:t>
      </w:r>
    </w:p>
    <w:p>
      <w:r>
        <w:t>This Agreement is entered into by [full legal name and address of the INODE operating entity] (Operator) and [full legal name, entity type, jurisdiction, and address of the initial Participant] (Participant). Additional Participants become Parties by executing Attachment A accepted by the Operator. INODE is the exchange name and is not, by itself, a legal contracting entity. Each Party represents that its signatory has authority to bind it, subject to the public entity qualifications stated in its Attachment A.</w:t>
      </w:r>
    </w:p>
    <w:p>
      <w:r>
        <w:t>The Parties establish a reusable framework for lawful transportation data exchange, discovery, integration, quality assessment, and coordinated use across jurisdictions. Providers retain source authorship and control of their data rights. The Operator administers access and permissions; it does not acquire ownership of contributed data or authority to make operational decisions for a Participant.</w:t>
      </w:r>
    </w:p>
    <w:p>
      <w:r>
        <w:rPr>
          <w:b/>
        </w:rPr>
        <w:t xml:space="preserve">1.1 Scope. </w:t>
      </w:r>
      <w:r>
        <w:t>Eligible Participants include public transportation and emergency management agencies, local and regional governments, planning organizations, toll and port authorities, research institutions, private data providers, application developers, and approved contractors. Eligibility alone grants no right to any dataset. A Participant may be a Provider, Recipient, or both.</w:t>
      </w:r>
    </w:p>
    <w:p>
      <w:r>
        <w:rPr>
          <w:b/>
        </w:rPr>
        <w:t xml:space="preserve">1.2 Binding structure. </w:t>
      </w:r>
      <w:r>
        <w:t>This Agreement includes accepted Attachments A and executed Attachments B through E as applicable. Each Provider grants the rights in an approved Attachment B directly to the Operator and the eligible Recipients identified there. By accepting access, a Recipient Party accepts the associated restrictions. The Operator shall record that acceptance before enabling controlled access. Each Provider and Recipient may enforce the applicable obligations directly against the other and the Operator; unrelated Participants are not responsible for another Party’s breach.</w:t>
      </w:r>
    </w:p>
    <w:p>
      <w:pPr>
        <w:pStyle w:val="Heading1"/>
      </w:pPr>
      <w:r>
        <w:t>2 Definitions</w:t>
      </w:r>
    </w:p>
    <w:p>
      <w:r>
        <w:t>Shared Data means the data, metadata, records, imagery, geospatial information, operational information, and approved outputs identified in Attachment B. Provider means a Party authorized to disclose Shared Data and grant the stated rights. Recipient means a Party receiving or accessing Shared Data. Authorized Users are personnel and systems permitted under Sections 4 and 5. Controlled Data means Shared Data classified as Participant or Restricted under Section 3. Derived Output means a transformation, visualization, statistic, inference, or other product created using Shared Data. Vendor Portal means a proprietary analytics tool or hosted interface distinct from its data and exported outputs.</w:t>
      </w:r>
    </w:p>
    <w:p>
      <w:r>
        <w:t>Personal Information means information identifying, reasonably capable of identifying, or linkable to an individual, household, or identifiable vehicle or device, including precise movement histories where they permit such identification. Security Incident means an actual or reasonably suspected compromise of Shared Data or systems handling it, including unauthorized access, use, disclosure, alteration, loss, or destruction. Applicable Law means law binding on the relevant Party and activity, including records, privacy, security, retention, and procurement requirements.</w:t>
      </w:r>
    </w:p>
    <w:p>
      <w:r>
        <w:br w:type="page"/>
      </w:r>
    </w:p>
    <w:p>
      <w:pPr>
        <w:pStyle w:val="Heading1"/>
      </w:pPr>
      <w:r>
        <w:t>3 Dataset approval and data rights</w:t>
      </w:r>
    </w:p>
    <w:p>
      <w:r>
        <w:rPr>
          <w:b/>
        </w:rPr>
        <w:t xml:space="preserve">3.1 Approval before access. </w:t>
      </w:r>
      <w:r>
        <w:t>No data shall be onboarded or used without a completed Attachment B approved by the Provider and Operator and accepted by each eligible Recipient. An identified class of Recipients may be approved in advance only if the Provider has authority to grant that class access. The Operator shall verify eligibility and maintain an auditable rights register linking each dataset, source contract, approval, Recipient, permitted use, and expiration date.</w:t>
      </w:r>
    </w:p>
    <w:p>
      <w:r>
        <w:rPr>
          <w:b/>
        </w:rPr>
        <w:t xml:space="preserve">3.2 Classifications. </w:t>
      </w:r>
      <w:r>
        <w:t>Public Data is affirmatively approved for public release under the license stated in Attachment B. Participant Data is available only to designated eligible Participants under the stated contractual permissions. Restricted Data is available only to specifically approved Recipients, users, systems, and purposes, with additional safeguards. A public records designation does not itself establish an open intellectual property license. If classification or rights are uncertain, the Operator shall withhold access pending clarification.</w:t>
      </w:r>
    </w:p>
    <w:p>
      <w:r>
        <w:rPr>
          <w:b/>
        </w:rPr>
        <w:t xml:space="preserve">3.3 Public data baseline. </w:t>
      </w:r>
      <w:r>
        <w:t>Public agency data may be approved without a Restricted Data addendum. Personal Information and nonpublic sensitive information are excluded unless an additional addendum signed by the Provider, Operator, and affected Recipient establishes legal authority, necessity, specific processing instructions, privacy safeguards, retention, and all required regulatory terms. Protected health information, criminal justice information, classified information, and similarly regulated data are excluded until the applicable specialist terms and approvals are completed.</w:t>
      </w:r>
    </w:p>
    <w:p>
      <w:r>
        <w:rPr>
          <w:b/>
        </w:rPr>
        <w:t xml:space="preserve">3.4 Provider assurances. </w:t>
      </w:r>
      <w:r>
        <w:t>For each contribution, the Provider represents that it owns the relevant rights, has documented permission from the rights holder, or may lawfully share the data under the identified public or open license; that it may grant the rights expressly stated; and that it has disclosed material restrictions and known Personal Information. These assurances concern authority and classification, not a guarantee of factual accuracy. A Provider shall promptly notify the Operator of a loss, change, expiration, or dispute affecting its authority.</w:t>
      </w:r>
    </w:p>
    <w:p>
      <w:r>
        <w:rPr>
          <w:b/>
        </w:rPr>
        <w:t xml:space="preserve">3.5 Third party and procured data. </w:t>
      </w:r>
      <w:r>
        <w:t>A Participant’s purchase, subscription, or membership does not automatically permit exchange-wide access. Vendor data requires the rights holder’s signed consent, either in Attachment B or an identified existing agreement that expressly authorizes the proposed sharing. The Operator shall verify the consent and any downstream conditions. Vendor contracts and procurements remain with the procuring Participants unless a separate agreement expressly provides otherwise. This Agreement does not expand, transfer, or supersede an existing vendor license without that rights holder’s express consent.</w:t>
      </w:r>
    </w:p>
    <w:p>
      <w:r>
        <w:rPr>
          <w:b/>
        </w:rPr>
        <w:t xml:space="preserve">3.6 License. </w:t>
      </w:r>
      <w:r>
        <w:t>Subject to Attachment B, each Provider grants a nonexclusive license during the authorized use period to access, reproduce, securely store, normalize, analyze, combine where permitted, create approved Derived Outputs, distribute to approved Recipients, and archive Shared Data solely for the approved purposes. Geography, historical access, fees, redistribution, public release, AI processing, and post-delivery rights are governed by Attachment B. Blank permission fields grant no permission. No implied sublicense, ownership transfer, or right to other datasets is granted.</w:t>
      </w:r>
    </w:p>
    <w:p>
      <w:r>
        <w:rPr>
          <w:b/>
        </w:rPr>
        <w:t xml:space="preserve">3.7 Existing independent rights. </w:t>
      </w:r>
      <w:r>
        <w:t>Rights obtained independently under an open license or separate valid agreement are unaffected. The Operator shall keep those rights distinguishable from permissions granted here. Nothing restricts a Party’s independently acquired data or independently developed tools.</w:t>
      </w:r>
    </w:p>
    <w:p>
      <w:r>
        <w:br w:type="page"/>
      </w:r>
    </w:p>
    <w:p>
      <w:pPr>
        <w:pStyle w:val="Heading1"/>
      </w:pPr>
      <w:r>
        <w:t>4 Permitted use and publication</w:t>
      </w:r>
    </w:p>
    <w:p>
      <w:r>
        <w:rPr>
          <w:b/>
        </w:rPr>
        <w:t xml:space="preserve">4.1 Purposes. </w:t>
      </w:r>
      <w:r>
        <w:t>Attachment B may authorize traffic operations, incident response, public safety, traveler information, corridor coordination, planning, asset management, freight and parking coordination, weather and winter operations, performance measurement, research, quality assurance, and grant reporting. Commercial application use, turn-by-turn navigation, automated vehicle use, and law enforcement or investigative use require affirmative authorization when relying on rights granted by this Agreement.</w:t>
      </w:r>
    </w:p>
    <w:p>
      <w:r>
        <w:rPr>
          <w:b/>
        </w:rPr>
        <w:t xml:space="preserve">4.2 Public outputs. </w:t>
      </w:r>
      <w:r>
        <w:t>Publicly licensed data may be released consistent with its stated license. Controlled Data may be presented publicly only as expressly approved outputs, such as aggregated statistics, maps, traveler advisories, or crossing status. A Derived Output does not become public merely because it is transformed. It must not expose restricted inputs, reconstruct a commercially substitutable dataset, reveal protected movements, or enable identification contrary to its authorization. Public safety dissemination must follow an express permission in Attachment B or a legal disclosure duty; it is not a blanket override of privacy or vendor restrictions.</w:t>
      </w:r>
    </w:p>
    <w:p>
      <w:r>
        <w:rPr>
          <w:b/>
        </w:rPr>
        <w:t xml:space="preserve">4.3 Restricted acts. </w:t>
      </w:r>
      <w:r>
        <w:t>Except where separately authorized by an independently applicable license or express Attachment B permission, a Recipient shall not sell, sublicense, transfer, rehost an API, distribute raw Controlled Data or substantial substitutes, or use it outside the approved purpose. A Recipient shall not circumvent access controls, remove required notices, introduce malicious code, or knowingly impair exchange services. No Party shall attempt reidentification of deidentified data or combine it with identifying data to identify people or track individual movements.</w:t>
      </w:r>
    </w:p>
    <w:p>
      <w:r>
        <w:rPr>
          <w:b/>
        </w:rPr>
        <w:t xml:space="preserve">4.4 Ownership and notices. </w:t>
      </w:r>
      <w:r>
        <w:t>Source ownership and authorship remain with the Provider or underlying rights holder, including when the Operator hosts a feed on the Provider’s behalf. Each creator owns its original contributions to Derived Outputs to the extent legally protectable, subject to all underlying rights and continuing restrictions; joint ownership is not presumed. The Operator’s software, normalization, and metadata do not erase source rights. Preserve source attribution, license notices, use restrictions, and transformation labels in copies and outputs where required. No license to a Party’s name, logo, patents, or software is implied.</w:t>
      </w:r>
    </w:p>
    <w:p>
      <w:r>
        <w:rPr>
          <w:b/>
        </w:rPr>
        <w:t xml:space="preserve">4.5 Mixed sources. </w:t>
      </w:r>
      <w:r>
        <w:t>The Operator and Recipients shall preserve rights lineage for mixed datasets and Derived Outputs. Distribution must comply with each input’s applicable restrictions. If incompatible rights cannot be separated, do not publish or grant broader access. Permissions for a nonsensitive output derived from a restricted input must be expressly recorded, including any aggregation, geographic, temporal, or redaction thresholds.</w:t>
      </w:r>
    </w:p>
    <w:p>
      <w:pPr>
        <w:pStyle w:val="Heading1"/>
      </w:pPr>
      <w:r>
        <w:t>5 Users contractors and vendor portals</w:t>
      </w:r>
    </w:p>
    <w:p>
      <w:r>
        <w:rPr>
          <w:b/>
        </w:rPr>
        <w:t xml:space="preserve">5.1 Access. </w:t>
      </w:r>
      <w:r>
        <w:t>Controlled access is limited to eligible personnel and approved service identities with a documented need. Each Party shall bind its personnel and contractors to enforceable obligations at least as protective as the applicable terms, train them, manage credentials, and promptly revoke access when their duties end. Contractor access requires Attachment E and remains within the sponsoring Participant’s approved project. Hosting and processing vendors must be identified and approved under Attachment C before handling Controlled Data.</w:t>
      </w:r>
    </w:p>
    <w:p>
      <w:r>
        <w:rPr>
          <w:b/>
        </w:rPr>
        <w:t xml:space="preserve">5.2 Portals. </w:t>
      </w:r>
      <w:r>
        <w:t>Dataset access does not grant Vendor Portal access. Attachment B must specify named user eligibility, seats, subscription dates, subjurisdiction access, geographic scope of analyses, export rights, and applicable portal terms. Portal credentials shall not be shared. No right to reverse engineer proprietary software, operate a service bureau, or use portal outputs for navigation or vehicle control is implied. Exported outputs remain subject to their separate approved data rights.</w:t>
      </w:r>
    </w:p>
    <w:p>
      <w:r>
        <w:br w:type="page"/>
      </w:r>
    </w:p>
    <w:p>
      <w:pPr>
        <w:pStyle w:val="Heading1"/>
      </w:pPr>
      <w:r>
        <w:t>6 Exchange operations and source authority</w:t>
      </w:r>
    </w:p>
    <w:p>
      <w:r>
        <w:rPr>
          <w:b/>
        </w:rPr>
        <w:t xml:space="preserve">6.1 Provider responsibilities. </w:t>
      </w:r>
      <w:r>
        <w:t>Providers shall supply the agreed data dictionary, metadata, source identifier, timestamps, coverage, update expectations, known quality limitations, and contact roles. They shall use reasonable efforts to flag material changes and known errors. Planned breaking interface changes should be announced at least 30 days in advance where feasible. Material access or quality issues shall be reported to affected Parties within one business day of awareness, and immediately when reasonably necessary for urgent safety action.</w:t>
      </w:r>
    </w:p>
    <w:p>
      <w:r>
        <w:rPr>
          <w:b/>
        </w:rPr>
        <w:t xml:space="preserve">6.2 Operator responsibilities. </w:t>
      </w:r>
      <w:r>
        <w:t>The Operator shall maintain the dataset catalog, access register, rights lineage, approved processing rules, interface documentation, and audit records. It shall respect source request budgets and license limits; label unavailable, stale, and unevaluable data; and prevent data exceeding agreed freshness limits from being presented as current operational information. Service levels, support coverage, export formats, and response targets must be stated in Attachment B or a separately signed service agreement. No continuous availability or minimum recovery time is otherwise promised.</w:t>
      </w:r>
    </w:p>
    <w:p>
      <w:r>
        <w:rPr>
          <w:b/>
        </w:rPr>
        <w:t xml:space="preserve">6.3 Normalization and evidence. </w:t>
      </w:r>
      <w:r>
        <w:t>The Operator may normalize structure only within approved rights. It shall preserve original values and lineage while authorized to retain them, distinguish observation from inference, identify material transformations, and not manufacture missing facts. Stable exchange identifiers shall be mapped to source identifiers with lifecycle changes recorded. Normalization and enrichment shall not silently replace an authoritative source record or transfer authorship.</w:t>
      </w:r>
    </w:p>
    <w:p>
      <w:r>
        <w:rPr>
          <w:b/>
        </w:rPr>
        <w:t xml:space="preserve">6.4 Quality findings. </w:t>
      </w:r>
      <w:r>
        <w:t>Evidence is additive to the Provider’s record. A technical check may report PASS, FAIL, or NOT EVALUATED, with its method and reason; a failed check is not a declaration that the Provider’s underlying factual record is false. Lack of evidence shall not be scored as failure. Evidence must state source, observation time, independence limitations, and freshness. Comparisons among Participants must disclose methodology, sample coverage, and limitations and control for relevant network size, instrumentation, and feed maturity. Publication of Participant-specific findings requires the permission recorded in Attachment B.</w:t>
      </w:r>
    </w:p>
    <w:p>
      <w:r>
        <w:rPr>
          <w:b/>
        </w:rPr>
        <w:t xml:space="preserve">6.5 Correction loop. </w:t>
      </w:r>
      <w:r>
        <w:t>Findings shall identify a reproducible record, reason, proposed remedy, owner, and finding identifier. The process is detect, diagnose, route, Provider action, and reverify using the same identifier. Source corrections require the Provider’s approval; the Operator may quarantine an unsafe or unauthorized output but may not change the Provider’s source system. An unaccepted geometry or other repair shall leave the source value intact and be labeled as a proposal. Disputed findings shall carry a dispute status while reviewed.</w:t>
      </w:r>
    </w:p>
    <w:p>
      <w:pPr>
        <w:pStyle w:val="Heading1"/>
      </w:pPr>
      <w:r>
        <w:t>7 Security incidents and AI</w:t>
      </w:r>
    </w:p>
    <w:p>
      <w:r>
        <w:rPr>
          <w:b/>
        </w:rPr>
        <w:t xml:space="preserve">7.1 Safeguards. </w:t>
      </w:r>
      <w:r>
        <w:t>Each Party is responsible for its systems and personnel and shall implement Attachment C and the dataset-specific controls. The Operator shall enforce logical separation and permissions across Participants. Compliance claims and certifications shall be evidenced rather than presumed.</w:t>
      </w:r>
    </w:p>
    <w:p>
      <w:r>
        <w:rPr>
          <w:b/>
        </w:rPr>
        <w:t xml:space="preserve">7.2 Incident notice. </w:t>
      </w:r>
      <w:r>
        <w:t>A Party discovering a Security Incident affecting Shared Data shall notify the Operator and affected Providers and Recipients without unreasonable delay and within 24 hours of discovery, or earlier where law or Attachment B requires. Notify using the security contacts in Attachments A and C; do not wait for a completed investigation. Initial notice may be incomplete and shall state known impact, data and systems involved, containment, and a response contact. Preserve evidence, cooperate in containment, and provide material updates and a closure report. Each Party retains its own legal notification duties.</w:t>
      </w:r>
    </w:p>
    <w:p>
      <w:r>
        <w:rPr>
          <w:b/>
        </w:rPr>
        <w:t xml:space="preserve">7.3 AI and automation. </w:t>
      </w:r>
      <w:r>
        <w:t>Disclose AI processing used to create or transform a contributed dataset. New AI inference, external model processing, training, fine-tuning, embeddings, or retention in models requires the specific authorization in Attachment B and any required addendum. Controlled Data shall not enter public AI services or services that retain it for their own purposes without express rights-holder consent. Automated alerts, routing actions, sign messages, or control functions require separately approved operating procedures, responsible human authority, activation logs, and defined review and shutdown mechanisms. Data access alone grants no control authority.</w:t>
      </w:r>
    </w:p>
    <w:p>
      <w:r>
        <w:br w:type="page"/>
      </w:r>
    </w:p>
    <w:p>
      <w:pPr>
        <w:pStyle w:val="Heading1"/>
      </w:pPr>
      <w:r>
        <w:t>8 Records retention and exit</w:t>
      </w:r>
    </w:p>
    <w:p>
      <w:r>
        <w:rPr>
          <w:b/>
        </w:rPr>
        <w:t xml:space="preserve">8.1 Lawful disclosure. </w:t>
      </w:r>
      <w:r>
        <w:t>Each Party shall respond to public records requests, subpoenas, and other compulsory demands under the law applicable to it. Classification markings do not guarantee an exemption. Unless prohibited, promptly notify affected Providers and the Operator before disclosure, provide reasonable opportunity to seek lawful protection, and disclose only what is legally required. No Party shall obstruct a lawful deadline or order. Parties shall reasonably cooperate in identifying responsive records and applicable restrictions.</w:t>
      </w:r>
    </w:p>
    <w:p>
      <w:r>
        <w:rPr>
          <w:b/>
        </w:rPr>
        <w:t xml:space="preserve">8.2 Retention. </w:t>
      </w:r>
      <w:r>
        <w:t>Attachment B shall distinguish delivery duration from use rights for data already received and specify retention for raw data, Derived Outputs, logs, and backups. Ending a task order or feed does not alone extinguish expressly authorized archival use. If no continuing right is stated, use ends with the applicable authorization. Required legal retention or litigation holds permit only protected retention and the uses required by law, not ongoing analytics or commercial use.</w:t>
      </w:r>
    </w:p>
    <w:p>
      <w:r>
        <w:rPr>
          <w:b/>
        </w:rPr>
        <w:t xml:space="preserve">8.3 Withdrawal and removal. </w:t>
      </w:r>
      <w:r>
        <w:t>A Provider may end future sharing of its dataset on 30 days’ notice unless Attachment B specifies a different period. It may request immediate suspension where continued sharing lacks lawful authority or creates a material security risk. These actions do not revoke independently applicable open licenses or expressly granted irrevocable rights. The Operator shall notify affected Recipients, stop the affected access, and propagate required restrictions or deletion requests through the rights register.</w:t>
      </w:r>
    </w:p>
    <w:p>
      <w:r>
        <w:rPr>
          <w:b/>
        </w:rPr>
        <w:t xml:space="preserve">8.4 Return and destruction. </w:t>
      </w:r>
      <w:r>
        <w:t>At the end of an authorization, a Recipient and the Operator shall return or securely delete affected data and restricted Derived Outputs within 30 days, unless Attachment B requires otherwise. Certify completion and identify legally required retained copies and backup expiry dates. Inaccessible backups may remain until their documented rotation, no longer than 90 days absent an approved exception or legal duty, and shall not be restored for use; if restored for recovery, deletion shall be reapplied. Compliant public outputs and nonreconstructive outputs may remain only under an expressly surviving permission or independent lawful right.</w:t>
      </w:r>
    </w:p>
    <w:p>
      <w:r>
        <w:rPr>
          <w:b/>
        </w:rPr>
        <w:t xml:space="preserve">8.5 Portability. </w:t>
      </w:r>
      <w:r>
        <w:t>Before exit, the Operator shall offer the departing Provider an export of its contributed data and associated source mappings and metadata in an agreed usable format, subject to lawful retention and third-party rights. Exit does not grant access to another Party’s restricted data, proprietary software, or credentials. Operational export timing and any approved costs shall be stated in Attachment B. An Operator transition requires the affected Parties’ written approval and continued protection of data throughout transfer.</w:t>
      </w:r>
    </w:p>
    <w:p>
      <w:pPr>
        <w:pStyle w:val="Heading1"/>
      </w:pPr>
      <w:r>
        <w:t>9 Term suspension and termination</w:t>
      </w:r>
    </w:p>
    <w:p>
      <w:r>
        <w:rPr>
          <w:b/>
        </w:rPr>
        <w:t xml:space="preserve">9.1 Term. </w:t>
      </w:r>
      <w:r>
        <w:t>The initial Agreement takes effect on the last initial signature date and continues for five years unless an expressly stated end date in Attachment A applies. A later Participant’s accession takes effect when accepted by the Operator and continues through the Agreement’s then-current term unless a shorter term is stated. Renewal requires written agreement by the Operator and each continuing Participant. Dataset delivery and use periods may be shorter or may expressly survive as stated in Attachment B.</w:t>
      </w:r>
    </w:p>
    <w:p>
      <w:r>
        <w:rPr>
          <w:b/>
        </w:rPr>
        <w:t xml:space="preserve">9.2 Termination. </w:t>
      </w:r>
      <w:r>
        <w:t>A Participant may withdraw on 30 days’ written notice to the Operator. The Operator or affected Provider may terminate the relevant relationship or dataset authorization for a material breach not cured within 30 days after notice. Immediate protective suspension is permitted for unlawful use, compromised credentials, expired rights, or a material security threat; promptly state its reason and scope and restore access when resolved. Immediate termination is permitted for an incurable material breach. An unrelated Participant’s access shall not be terminated solely because another Participant breaches.</w:t>
      </w:r>
    </w:p>
    <w:p>
      <w:r>
        <w:rPr>
          <w:b/>
        </w:rPr>
        <w:t xml:space="preserve">9.3 Survival. </w:t>
      </w:r>
      <w:r>
        <w:t>Accrued obligations, ownership, use restrictions on retained data, surviving licenses, lawful disclosure, security for retained data, destruction, liability, and dispute provisions survive as necessary to give them effect. Termination is not a release of accrued claims.</w:t>
      </w:r>
    </w:p>
    <w:p>
      <w:r>
        <w:br w:type="page"/>
      </w:r>
    </w:p>
    <w:p>
      <w:pPr>
        <w:pStyle w:val="Heading1"/>
      </w:pPr>
      <w:r>
        <w:t>10 Responsibility and general terms</w:t>
      </w:r>
    </w:p>
    <w:p>
      <w:r>
        <w:rPr>
          <w:b/>
        </w:rPr>
        <w:t xml:space="preserve">10.1 Data warranty. </w:t>
      </w:r>
      <w:r>
        <w:t>Except for the express assurances concerning authority, classification, and compliance, Shared Data and outputs are provided as is. To the extent permitted by law, no Party warrants completeness, accuracy, uninterrupted availability, merchantability, or fitness for a particular purpose. Recipients shall assess suitability for their use. This disclaimer does not excuse express security, access, or processing obligations. Operational users retain responsibility for decisions and must not treat the exchange as a substitute for required field verification.</w:t>
      </w:r>
    </w:p>
    <w:p>
      <w:r>
        <w:rPr>
          <w:b/>
        </w:rPr>
        <w:t xml:space="preserve">10.2 Responsibility. </w:t>
      </w:r>
      <w:r>
        <w:t>Each Party is responsible for its own breach and for persons acting on its behalf to the extent provided by law. No Party is liable solely because an unrelated Participant misuses data. No joint liability, mandatory indemnity, or financial liability cap is created by this template. To the extent permitted by law, Parties exclude liability to one another for indirect, consequential, special, or punitive damages, except for fraud, willful misconduct, or liabilities that cannot lawfully be excluded. Direct damages and other lawful remedies remain available subject to any expressly agreed addendum.</w:t>
      </w:r>
    </w:p>
    <w:p>
      <w:r>
        <w:rPr>
          <w:b/>
        </w:rPr>
        <w:t xml:space="preserve">10.3 Vendor protections. </w:t>
      </w:r>
      <w:r>
        <w:t>Any required vendor indemnity for intellectual property infringement or breach of rights assurances, defense procedure, insurance, liability cap, and exclusions must be set out in an executed Attachment B addendum. No public entity undertakes an indemnity through a blank field or incorporated portal term. Nothing here waives an existing indemnity under a separate valid procurement contract.</w:t>
      </w:r>
    </w:p>
    <w:p>
      <w:r>
        <w:rPr>
          <w:b/>
        </w:rPr>
        <w:t xml:space="preserve">10.4 Public entities. </w:t>
      </w:r>
      <w:r>
        <w:t>Nothing waives a public entity’s sovereign or governmental immunity, statutory defenses, limits on liability, appropriations restrictions, or constitutional rights, or requires a promise it lacks authority to make. No consent to suit, out-of-state venue, or binding arbitration is implied. A public entity’s mandatory terms must be stated in Attachment A and accepted before access; they do not enlarge its rights to another Party’s data.</w:t>
      </w:r>
    </w:p>
    <w:p>
      <w:r>
        <w:rPr>
          <w:b/>
        </w:rPr>
        <w:t xml:space="preserve">10.5 Disputes and law. </w:t>
      </w:r>
      <w:r>
        <w:t>Data stewards shall first attempt resolution, followed by governance leads and authorized executives. The Parties shall negotiate in good faith for 30 days unless urgent protection is required. Unresolved claims may proceed only in a forum having lawful jurisdiction. The governing law and forum for each Operator–Participant relationship must be completed in Attachment A; for each Provider–Recipient dataset relationship they must be completed in Attachment B. Mandatory law and preserved immunity control. The governance group cannot adjudicate legal claims or waive rights without delegated authority.</w:t>
      </w:r>
    </w:p>
    <w:p>
      <w:r>
        <w:rPr>
          <w:b/>
        </w:rPr>
        <w:t xml:space="preserve">10.6 Costs and relationship. </w:t>
      </w:r>
      <w:r>
        <w:t>Each Party bears its own costs unless a signed agreement states otherwise. This Agreement creates no automatic data purchase, membership fee, funding commitment, exclusive relationship, partnership, employment, or agency. The Operator may not bind another Party to procurement or expense.</w:t>
      </w:r>
    </w:p>
    <w:p>
      <w:r>
        <w:rPr>
          <w:b/>
        </w:rPr>
        <w:t xml:space="preserve">10.7 Notices. </w:t>
      </w:r>
      <w:r>
        <w:t>Formal notices go to the legal notice contacts in Attachment A by confirmed email, personal delivery, or tracked mail and take effect upon documented receipt. Security and operational notices use the designated contacts and shall be confirmed in writing. Contact changes may be made by written notice without amendment.</w:t>
      </w:r>
    </w:p>
    <w:p>
      <w:r>
        <w:rPr>
          <w:b/>
        </w:rPr>
        <w:t xml:space="preserve">10.8 Changes and precedence. </w:t>
      </w:r>
      <w:r>
        <w:t>Mandatory law controls. An expressly identified, signed deviation addendum controls the specified provision for consenting Parties; otherwise this master controls, followed by dataset schedules and operational attachments. No schedule silently overrides the master or an underlying rights holder’s restrictions. Conflicts with source licenses must be resolved with that rights holder before access. Master changes require written acceptance by every affected Party. Dataset changes require Provider and Operator approval and affected Recipient acceptance before new uses; routine technical or contact changes may be approved by delegated officials if they do not alter rights, risk, cost, or obligations. No unilateral policy or click-through changes these terms.</w:t>
      </w:r>
    </w:p>
    <w:p>
      <w:r>
        <w:rPr>
          <w:b/>
        </w:rPr>
        <w:t xml:space="preserve">10.9 Other terms. </w:t>
      </w:r>
      <w:r>
        <w:t>No assignment or substitution of the Operator without affected Parties’ written consent, except as expressly approved in an addendum. The Agreement is the entire agreement for its stated scope and does not supersede unrelated agreements. Waivers must be written by the waiving Party; invalid provisions are severable to the extent lawful. No rights are created for persons outside the Parties. Counterparts and electronic signatures are accepted to the extent permitted by law.</w:t>
      </w:r>
    </w:p>
    <w:p>
      <w:r>
        <w:br w:type="page"/>
      </w:r>
    </w:p>
    <w:p>
      <w:pPr>
        <w:pStyle w:val="Heading1"/>
      </w:pPr>
      <w:r>
        <w:t>Attachment A Participant accession and signatures</w:t>
      </w:r>
    </w:p>
    <w:p>
      <w:r>
        <w:t>Complete one accession for each Participant. The initial Operator and Participant execute below to establish the Agreement; additional Participants execute with Operator acceptance. Complete all required legal fields before execution. A signed accession grants membership in the framework, not access to every dataset.</w:t>
      </w:r>
    </w:p>
    <w:p>
      <w:r>
        <w:rPr>
          <w:b/>
        </w:rPr>
        <w:t xml:space="preserve">Agreement identifier and version </w:t>
      </w:r>
      <w:r>
        <w:t>[Complete]</w:t>
      </w:r>
    </w:p>
    <w:p>
      <w:r>
        <w:rPr>
          <w:b/>
        </w:rPr>
        <w:t xml:space="preserve">Operator legal name and address </w:t>
      </w:r>
      <w:r>
        <w:t>[Complete]</w:t>
      </w:r>
    </w:p>
    <w:p>
      <w:r>
        <w:rPr>
          <w:b/>
        </w:rPr>
        <w:t xml:space="preserve">Participant legal name and address </w:t>
      </w:r>
      <w:r>
        <w:t>[Complete]</w:t>
      </w:r>
    </w:p>
    <w:p>
      <w:r>
        <w:rPr>
          <w:b/>
        </w:rPr>
        <w:t xml:space="preserve">Entity type and jurisdiction </w:t>
      </w:r>
      <w:r>
        <w:t>[Complete]</w:t>
      </w:r>
    </w:p>
    <w:p>
      <w:r>
        <w:rPr>
          <w:b/>
        </w:rPr>
        <w:t xml:space="preserve">Participant role </w:t>
      </w:r>
      <w:r>
        <w:t>[Provider / Recipient / both; identify contractor sponsor if applicable]</w:t>
      </w:r>
    </w:p>
    <w:p>
      <w:r>
        <w:rPr>
          <w:b/>
        </w:rPr>
        <w:t xml:space="preserve">Authority to contract </w:t>
      </w:r>
      <w:r>
        <w:t>[Statutory or organizational authority and required approvals]</w:t>
      </w:r>
    </w:p>
    <w:p>
      <w:r>
        <w:rPr>
          <w:b/>
        </w:rPr>
        <w:t xml:space="preserve">Effective date and any shorter term </w:t>
      </w:r>
      <w:r>
        <w:t>[Complete; otherwise Section 9 applies]</w:t>
      </w:r>
    </w:p>
    <w:p>
      <w:r>
        <w:rPr>
          <w:b/>
        </w:rPr>
        <w:t xml:space="preserve">Operator Participant governing law and forum </w:t>
      </w:r>
      <w:r>
        <w:t>[Required; include public entity qualifications]</w:t>
      </w:r>
    </w:p>
    <w:p>
      <w:r>
        <w:rPr>
          <w:b/>
        </w:rPr>
        <w:t xml:space="preserve">Mandatory public entity terms or deviations </w:t>
      </w:r>
      <w:r>
        <w:t>[Attach signed addendum, identify sections changed, or enter None]</w:t>
      </w:r>
    </w:p>
    <w:p>
      <w:r>
        <w:rPr>
          <w:b/>
        </w:rPr>
        <w:t xml:space="preserve">Legal notice contact and address </w:t>
      </w:r>
      <w:r>
        <w:t>[Title, email, telephone, mailing address]</w:t>
      </w:r>
    </w:p>
    <w:p>
      <w:r>
        <w:rPr>
          <w:b/>
        </w:rPr>
        <w:t xml:space="preserve">Executive and governance contacts </w:t>
      </w:r>
      <w:r>
        <w:t>[Primary and alternate titles, emails, telephones]</w:t>
      </w:r>
    </w:p>
    <w:p>
      <w:r>
        <w:rPr>
          <w:b/>
        </w:rPr>
        <w:t xml:space="preserve">Data owner and steward contacts </w:t>
      </w:r>
      <w:r>
        <w:t>[Primary and alternate titles, emails, telephones]</w:t>
      </w:r>
    </w:p>
    <w:p>
      <w:r>
        <w:rPr>
          <w:b/>
        </w:rPr>
        <w:t xml:space="preserve">Technical and security contacts </w:t>
      </w:r>
      <w:r>
        <w:t>[Primary and alternate titles, emails, telephones; 24 hour incident route]</w:t>
      </w:r>
    </w:p>
    <w:p>
      <w:r>
        <w:t>The Participant accepts the identified master Agreement and its applicable executed schedules, certifies the authority of its signatory, and will accept each dataset’s restrictions before access. The Operator accepts the Participant’s accession and the expressly attached qualifications. Future sharing is limited to valid authorizations.</w:t>
      </w:r>
    </w:p>
    <w:p>
      <w:pPr>
        <w:pStyle w:val="Heading1"/>
      </w:pPr>
      <w:r>
        <w:t>Participant signature</w:t>
      </w:r>
    </w:p>
    <w:p>
      <w:r>
        <w:t>By: ____________________________________    Date: __________________</w:t>
      </w:r>
    </w:p>
    <w:p>
      <w:r>
        <w:t>Name and title: _____________________________________________________</w:t>
      </w:r>
    </w:p>
    <w:p>
      <w:pPr>
        <w:pStyle w:val="Heading1"/>
      </w:pPr>
      <w:r>
        <w:t>Operator signature and acceptance</w:t>
      </w:r>
    </w:p>
    <w:p>
      <w:r>
        <w:t>By: ____________________________________    Date: __________________</w:t>
      </w:r>
    </w:p>
    <w:p>
      <w:r>
        <w:t>Name and title: _____________________________________________________</w:t>
      </w:r>
    </w:p>
    <w:p>
      <w:r>
        <w:t>Required counsel or agency approval: __________________________________</w:t>
      </w:r>
    </w:p>
    <w:p>
      <w:r>
        <w:br w:type="page"/>
      </w:r>
    </w:p>
    <w:p>
      <w:pPr>
        <w:pStyle w:val="Heading1"/>
      </w:pPr>
      <w:r>
        <w:t>Attachment B Dataset authorization and rights schedule</w:t>
      </w:r>
    </w:p>
    <w:p>
      <w:r>
        <w:t>Complete one schedule per dataset or set of datasets having identical rights. This schedule has two pages. Fill every field with an authorization, prohibition, or Not applicable. Blank permission fields grant no permission. Referenced contracts and addenda must be available to the consenting Parties before approval.</w:t>
      </w:r>
    </w:p>
    <w:p>
      <w:r>
        <w:rPr>
          <w:b/>
        </w:rPr>
        <w:t xml:space="preserve">B1 Identity and authority </w:t>
      </w:r>
      <w:r>
        <w:t>Dataset name and identifier: [Complete]. Provider and underlying rights holder: [Complete]. Source contract, license, task order, and evidence of sharing authority: [Complete]. Rights holder consent attached: [Yes / existing express authorization identified / not applicable for own data].</w:t>
      </w:r>
    </w:p>
    <w:p>
      <w:r>
        <w:rPr>
          <w:b/>
        </w:rPr>
        <w:t xml:space="preserve">B2 Contents and coverage </w:t>
      </w:r>
      <w:r>
        <w:t>Domains, fields, geography, historical dates, format, schema version, data dictionary, and catalog metadata: [Complete]. Known quality limitations and prohibited fields: [Complete].</w:t>
      </w:r>
    </w:p>
    <w:p>
      <w:r>
        <w:rPr>
          <w:b/>
        </w:rPr>
        <w:t xml:space="preserve">B3 Classification </w:t>
      </w:r>
      <w:r>
        <w:t>[Public / Participant / Restricted]. Legal basis for disclosure and public license if applicable: [Complete]. Personal or regulated information: [None / describe and attach executed specialist addendum]. Catalog visibility: [Public metadata / eligible Participants only / named Recipients only].</w:t>
      </w:r>
    </w:p>
    <w:p>
      <w:r>
        <w:rPr>
          <w:b/>
        </w:rPr>
        <w:t xml:space="preserve">B4 Eligible recipients </w:t>
      </w:r>
      <w:r>
        <w:t>[Named legal entities or precisely defined class and verification criteria]. Cross-member access: [Permitted scope / prohibited]. Private developers and subjurisdictions: [State eligibility]. Contractor and processor access: [State scope and approved entities].</w:t>
      </w:r>
    </w:p>
    <w:p>
      <w:r>
        <w:rPr>
          <w:b/>
        </w:rPr>
        <w:t xml:space="preserve">B5 Purposes and processing </w:t>
      </w:r>
      <w:r>
        <w:t>[List authorized purposes and processing]. Permitted combinations with other sources: [List]. Commercial products or services: [Permitted scope / prohibited]. Navigation and route guidance: [Permitted scope / prohibited]. Automated vehicle use and law enforcement use: [Separately state permission or prohibition].</w:t>
      </w:r>
    </w:p>
    <w:p>
      <w:r>
        <w:rPr>
          <w:b/>
        </w:rPr>
        <w:t xml:space="preserve">B6 Publication and redistribution </w:t>
      </w:r>
      <w:r>
        <w:t>Raw data or API rehosting: [Permission / prohibited]. Approved public outputs and channels: [List]. Public safety outputs: [List authorized scope]. Restricted input to permitted output rules, aggregation thresholds, delays, redaction, and reconstruction limits: [Complete]. Attribution and license notices: [Exact text].</w:t>
      </w:r>
    </w:p>
    <w:p>
      <w:r>
        <w:rPr>
          <w:b/>
        </w:rPr>
        <w:t xml:space="preserve">B7 AI and automated processing </w:t>
      </w:r>
      <w:r>
        <w:t>AI already used by Provider: [No / system, purpose, provenance and limitations]. Authorized Recipient or Operator AI processing: [None / named systems, processing, providers, input retention, output rights]. Training, fine-tuning, embeddings and model retention: [Each permitted scope or prohibited]. Approved operating procedure for automation: [Reference / none].</w:t>
      </w:r>
    </w:p>
    <w:p>
      <w:r>
        <w:br w:type="page"/>
      </w:r>
    </w:p>
    <w:p>
      <w:pPr>
        <w:pStyle w:val="Heading1"/>
      </w:pPr>
      <w:r>
        <w:t>Attachment B Dataset terms and approval continued</w:t>
      </w:r>
    </w:p>
    <w:p>
      <w:r>
        <w:rPr>
          <w:b/>
        </w:rPr>
        <w:t xml:space="preserve">B8 Delivery and operational conditions </w:t>
      </w:r>
      <w:r>
        <w:t>Endpoint or transfer method: [Complete; do not include secrets]. Push or pull frequency, source request budget, update interval, source and observation timestamps, freshness thresholds, lifecycle mapping, incident route, maintenance notice, support hours and any service commitments: [Complete].</w:t>
      </w:r>
    </w:p>
    <w:p>
      <w:r>
        <w:rPr>
          <w:b/>
        </w:rPr>
        <w:t xml:space="preserve">B9 Processing and storage </w:t>
      </w:r>
      <w:r>
        <w:t>[Hosted copy / federated access / approved computation at source]. Approved Operator, Recipient and processor environments: [List]. Residency and remote access exceptions: [List / none]. Additional security controls and approved exceptions to Attachment C: [List; attach signed deviation if needed].</w:t>
      </w:r>
    </w:p>
    <w:p>
      <w:r>
        <w:rPr>
          <w:b/>
        </w:rPr>
        <w:t xml:space="preserve">B10 Duration and retention </w:t>
      </w:r>
      <w:r>
        <w:t>Delivery start and end: [Complete]. Use period for already received data: [Complete]. Raw data, outputs, logs and backup retention: [Specify each]. Post-termination archive and output rights: [Specify each / none]. Legal retention procedure, deletion certification and portability format and timing: [Complete].</w:t>
      </w:r>
    </w:p>
    <w:p>
      <w:r>
        <w:rPr>
          <w:b/>
        </w:rPr>
        <w:t xml:space="preserve">B11 Portal access </w:t>
      </w:r>
      <w:r>
        <w:t>[Not applicable / vendor portal name, terms and version, subscription dates, named user eligibility, seat count, subjurisdiction eligibility, analyses for other agencies, geographic limits, export and output rights]. Portal privileges do not follow automatically from cross-member dataset access.</w:t>
      </w:r>
    </w:p>
    <w:p>
      <w:r>
        <w:rPr>
          <w:b/>
        </w:rPr>
        <w:t xml:space="preserve">B12 Fees and vendor risk terms </w:t>
      </w:r>
      <w:r>
        <w:t>[No fee / reference signed purchase or service agreement]. Optional vendor indemnity, insurance, direct liability cap and exclusions: [None / reference signed addendum]. Identify any additional downstream terms and evidence of Recipient acceptance: [Complete].</w:t>
      </w:r>
    </w:p>
    <w:p>
      <w:r>
        <w:rPr>
          <w:b/>
        </w:rPr>
        <w:t xml:space="preserve">B13 Findings and governance </w:t>
      </w:r>
      <w:r>
        <w:t>Permitted quality checks, methodology, return path, correction authority and Provider response contact: [Complete]. Participant-specific public benchmarking: [Permission with review procedure / prohibited]. Approval criteria for Derived Outputs: [Complete].</w:t>
      </w:r>
    </w:p>
    <w:p>
      <w:r>
        <w:rPr>
          <w:b/>
        </w:rPr>
        <w:t xml:space="preserve">B14 Dataset law and forum </w:t>
      </w:r>
      <w:r>
        <w:t>Provider Recipient governing law, lawful forum and public entity qualifications: [Required]. Express master deviations and consenting Parties: [None / executed addendum and affected sections].</w:t>
      </w:r>
    </w:p>
    <w:p>
      <w:r>
        <w:t>Provider approval: ______________________  Name and title: ______________________</w:t>
      </w:r>
    </w:p>
    <w:p>
      <w:r>
        <w:t>Date: __________  Rights holder approval or existing authorization reference: ______________</w:t>
      </w:r>
    </w:p>
    <w:p>
      <w:r>
        <w:t>Operator approval: _____________________  Name and title: ______________________</w:t>
      </w:r>
    </w:p>
    <w:p>
      <w:r>
        <w:t>Date: __________  Schedule version and effective date: ____________________________</w:t>
      </w:r>
    </w:p>
    <w:p>
      <w:r>
        <w:t>Recipient acceptance: [Legal name, authorized official, signature or recorded written acceptance, date, schedule version]. Repeat for each eligible Recipient; the Operator may maintain the acceptance register as an incorporated record. A class approval does not replace each Recipient’s acceptance of restrictions.</w:t>
      </w:r>
    </w:p>
    <w:p>
      <w:r>
        <w:br w:type="page"/>
      </w:r>
    </w:p>
    <w:p>
      <w:pPr>
        <w:pStyle w:val="Heading1"/>
      </w:pPr>
      <w:r>
        <w:t>Attachment C Minimum security and data protection requirements</w:t>
      </w:r>
    </w:p>
    <w:p>
      <w:r>
        <w:t>These controls apply to systems used for exchange activities in proportion to the approved data classification. Public data availability does not remove the duty to secure accounts, source integrity, and exchange systems. Additional regulated data requirements require a signed addendum.</w:t>
      </w:r>
    </w:p>
    <w:p>
      <w:r>
        <w:rPr>
          <w:b/>
        </w:rPr>
        <w:t xml:space="preserve">C1 Governance and inventory. </w:t>
      </w:r>
      <w:r>
        <w:t>Maintain written security and incident response procedures; inventories of data, systems, interfaces and approved processors; assigned security ownership; staff training; and documented risk reviews. Use a risk-based control program aligned with NIST Cybersecurity Framework 2.0 and applicable governmental policies. This alignment is a contractual control approach, not a claim of NIST certification. Apply specialist frameworks only where relevant and expressly required.</w:t>
      </w:r>
    </w:p>
    <w:p>
      <w:r>
        <w:rPr>
          <w:b/>
        </w:rPr>
        <w:t xml:space="preserve">C2 Identity and isolation. </w:t>
      </w:r>
      <w:r>
        <w:t>Use individual or approved service identities, least privilege, role-based access, timely deprovisioning, and periodic access reviews at least quarterly for Controlled Data. Require multifactor authentication for privileged access and interactive access to Controlled Data. Separate Participant entitlements, protect credentials in managed secret storage, rotate compromised secrets, and prohibit credentials embedded in feeds or documents.</w:t>
      </w:r>
    </w:p>
    <w:p>
      <w:r>
        <w:rPr>
          <w:b/>
        </w:rPr>
        <w:t xml:space="preserve">C3 Transfer storage and residency. </w:t>
      </w:r>
      <w:r>
        <w:t>Use approved secure transport, ordinarily TLS 1.2 or stronger, for exchange interfaces. Encrypt Controlled Data at rest using strong supported cryptography, ordinarily AES 256 or equivalent, with protected key management. Protect processing environments and backups. Controlled Data shall be stored, processed and remotely accessed within the United States unless Attachment B expressly approves another location. Public data released under an open license is not subject to a downstream residency restriction here unless an express lawful qualification applies.</w:t>
      </w:r>
    </w:p>
    <w:p>
      <w:r>
        <w:rPr>
          <w:b/>
        </w:rPr>
        <w:t xml:space="preserve">C4 System protection. </w:t>
      </w:r>
      <w:r>
        <w:t>Maintain supported software, timely security updates, endpoint protection, network restrictions, vulnerability management, logging, and recovery procedures. Prioritize exploitable critical vulnerabilities and document remediation or compensating controls. Do not use technologies prohibited by laws or policies binding on the applicable Party; identify applicable restrictions during onboarding rather than automatically importing another state’s policy.</w:t>
      </w:r>
    </w:p>
    <w:p>
      <w:r>
        <w:rPr>
          <w:b/>
        </w:rPr>
        <w:t xml:space="preserve">C5 Logs and recovery. </w:t>
      </w:r>
      <w:r>
        <w:t>Record controlled access, material exports, permission changes, transformations and administrative activity. Protect logs against tampering and avoid unnecessary Personal Information or data payloads. Retain audit logs for at least 12 months unless an applicable law or approved schedule requires a different period. Test recovery for retained operational data and permission settings at least annually; deletion obligations apply to restored copies.</w:t>
      </w:r>
    </w:p>
    <w:p>
      <w:r>
        <w:rPr>
          <w:b/>
        </w:rPr>
        <w:t xml:space="preserve">C6 Processors and AI providers. </w:t>
      </w:r>
      <w:r>
        <w:t>Before a processor handles Controlled Data, disclose its legal identity, function, location, and downstream processors to the Provider and obtain approval. Bind it to equivalent purpose, confidentiality, security, incident, audit, and deletion duties. Prohibit independent monetization, advertising, model training, and data retention beyond instructions unless specifically authorized. Notify proposed material processor changes in advance and obtain approval before affected processing.</w:t>
      </w:r>
    </w:p>
    <w:p>
      <w:r>
        <w:rPr>
          <w:b/>
        </w:rPr>
        <w:t xml:space="preserve">C7 Assurance. </w:t>
      </w:r>
      <w:r>
        <w:t>On reasonable request, provide relevant security summaries, control evidence, or available independent assessments. Certifications such as SOC 2 are required only if specifically agreed in Attachment B. Additional review must be appropriately scoped, protect other Participants’ information, and not require unrestricted system access. Identified material control gaps require a documented corrective plan or suspension of the affected access.</w:t>
      </w:r>
    </w:p>
    <w:p>
      <w:r>
        <w:rPr>
          <w:b/>
        </w:rPr>
        <w:t xml:space="preserve">C8 Incident and disposal. </w:t>
      </w:r>
      <w:r>
        <w:t>Follow Section 7.2; contain affected access, preserve evidence, cooperate, and document closure. Maintain a current 24 hour notification route in Attachment A. Securely erase Controlled Data at the end of its authorized retention and certify deletion under Section 8.4. Apply equivalent controls to archives retained by legal duty.</w:t>
      </w:r>
    </w:p>
    <w:p>
      <w:r>
        <w:br w:type="page"/>
      </w:r>
    </w:p>
    <w:p>
      <w:pPr>
        <w:pStyle w:val="Heading1"/>
      </w:pPr>
      <w:r>
        <w:t>Attachment D Governance and operational coordination</w:t>
      </w:r>
    </w:p>
    <w:p>
      <w:r>
        <w:rPr>
          <w:b/>
        </w:rPr>
        <w:t xml:space="preserve">D1 Roles. </w:t>
      </w:r>
      <w:r>
        <w:t>Each Participant designates an executive sponsor, governance lead, data owner, data steward, technical lead, and security contact with alternates. The data owner approves disclosure and rights; the steward maintains definitions, metadata and quality coordination; the technical lead maintains interfaces and access; the security contact manages incidents; the governance lead handles escalation. A person may hold more than one role if responsibility remains clear.</w:t>
      </w:r>
    </w:p>
    <w:p>
      <w:r>
        <w:rPr>
          <w:b/>
        </w:rPr>
        <w:t xml:space="preserve">D2 Operator administration. </w:t>
      </w:r>
      <w:r>
        <w:t>The Operator administers the catalog, onboarding, eligibility, permissions, acceptance register, monitoring, and source feedback. Before enabling a dataset it shall verify the approved schedule, licenses, recipient permissions, required processor approvals, and security prerequisites. It shall make current applicable restrictions available to every Recipient and provide the Provider a record of authorized controlled access on reasonable request.</w:t>
      </w:r>
    </w:p>
    <w:p>
      <w:r>
        <w:rPr>
          <w:b/>
        </w:rPr>
        <w:t xml:space="preserve">D3 Governance group. </w:t>
      </w:r>
      <w:r>
        <w:t>The Operator shall convene a governance group with a representative of each active Participant and may establish technical working groups. Coordination shall occur at least quarterly; review the Agreement’s implementation, dataset schedules, contacts, and control requirements at least annually. Decisions requiring consent remain subject to Section 10.8. Membership or a vote does not transfer a Provider’s rights or bind a public entity beyond its authority.</w:t>
      </w:r>
    </w:p>
    <w:p>
      <w:r>
        <w:rPr>
          <w:b/>
        </w:rPr>
        <w:t xml:space="preserve">D4 Quality and source correction. </w:t>
      </w:r>
      <w:r>
        <w:t>Use the process in Section 6.5. Every material finding shall identify dataset, sample record, source adapter where applicable, test method, reason, proposed remedy, timestamps, owner and finding identifier. Providers determine source action. The Operator records accepted, disputed, corrected, closed or repeat outcomes and reruns the relevant check. Coverage gaps and unavailable evidence remain distinct from failed checks.</w:t>
      </w:r>
    </w:p>
    <w:p>
      <w:r>
        <w:rPr>
          <w:b/>
        </w:rPr>
        <w:t xml:space="preserve">D5 Changes and communications. </w:t>
      </w:r>
      <w:r>
        <w:t>Notify material quality or access issues within one business day, urgent safety issues promptly, and incidents under Section 7.2. Record planned schema and endpoint changes, rights changes, and lifecycle events. A planned technical migration shall include testing and rollback arrangements proportionate to impact. Rights changes require approval before access is expanded; technical convenience is not a reason to bypass approval.</w:t>
      </w:r>
    </w:p>
    <w:p>
      <w:r>
        <w:rPr>
          <w:b/>
        </w:rPr>
        <w:t xml:space="preserve">D6 Benchmarking and publication. </w:t>
      </w:r>
      <w:r>
        <w:t>Record methodologies, limitations, peer group criteria, and publication permissions. Provide a reasonable opportunity for an affected Provider to identify factual errors before publishing Participant-specific findings, ordinarily 10 business days unless Attachment B states otherwise. This review does not permit hiding a failed technical check or labeling an unrun check as clean; unresolved factual disputes must be visible. Public release must follow Attachment B.</w:t>
      </w:r>
    </w:p>
    <w:p>
      <w:r>
        <w:rPr>
          <w:b/>
        </w:rPr>
        <w:t xml:space="preserve">D7 Safe use and exit. </w:t>
      </w:r>
      <w:r>
        <w:t>Operational automation must have an approved procedure, accountable authority and activation record. For exit or transfer, inventory affected sources, recipients, outputs, keys, processors, retention duties, and surviving permissions. Confirm export, access revocation and deletion, and preserve only authorized records. The governance group may recommend a successor Operator, but substitution requires the consents specified in Section 10.9.</w:t>
      </w:r>
    </w:p>
    <w:p>
      <w:r>
        <w:t>Governance lead and alternate: [Title, email, telephone]</w:t>
      </w:r>
    </w:p>
    <w:p>
      <w:r>
        <w:t>Coordination meeting cadence and issue tracking location: [Complete]</w:t>
      </w:r>
    </w:p>
    <w:p>
      <w:r>
        <w:t>Applicable operational procedures and delegated approval authorities: [Complete]</w:t>
      </w:r>
    </w:p>
    <w:p>
      <w:r>
        <w:br w:type="page"/>
      </w:r>
    </w:p>
    <w:p>
      <w:pPr>
        <w:pStyle w:val="Heading1"/>
      </w:pPr>
      <w:r>
        <w:t>Attachment E Contractor access and need to know</w:t>
      </w:r>
    </w:p>
    <w:p>
      <w:r>
        <w:t>Complete before contractor access. The sponsoring Participant must already be authorized for each listed dataset. A contractor signs Attachment A as a Participant or enters an enforceable undertaking incorporating the applicable Agreement and schedules before the Operator enables access. Contractor access grants no independent cross-member or commercial rights.</w:t>
      </w:r>
    </w:p>
    <w:p>
      <w:r>
        <w:rPr>
          <w:b/>
        </w:rPr>
        <w:t xml:space="preserve">E1 Contractor identity </w:t>
      </w:r>
      <w:r>
        <w:t>Legal name, address, entity type and jurisdiction: [Complete]</w:t>
      </w:r>
    </w:p>
    <w:p>
      <w:r>
        <w:rPr>
          <w:b/>
        </w:rPr>
        <w:t xml:space="preserve">E2 Sponsoring Participant </w:t>
      </w:r>
      <w:r>
        <w:t>Legal name, authorized sponsor contact, email and telephone: [Complete]</w:t>
      </w:r>
    </w:p>
    <w:p>
      <w:r>
        <w:rPr>
          <w:b/>
        </w:rPr>
        <w:t xml:space="preserve">E3 Contract and project </w:t>
      </w:r>
      <w:r>
        <w:t>Prime contract or subcontract number, project description and relevant work obligations: [Complete]</w:t>
      </w:r>
    </w:p>
    <w:p>
      <w:r>
        <w:rPr>
          <w:b/>
        </w:rPr>
        <w:t xml:space="preserve">E4 Access required </w:t>
      </w:r>
      <w:r>
        <w:t>Dataset identifiers and current Attachment B versions; required fields, geography, historical dates and approved purposes: [Complete]</w:t>
      </w:r>
    </w:p>
    <w:p>
      <w:r>
        <w:rPr>
          <w:b/>
        </w:rPr>
        <w:t xml:space="preserve">E5 Need and term </w:t>
      </w:r>
      <w:r>
        <w:t>Explain why access is necessary: [Complete]. Start date: [Complete]. End date: [Complete]. Access ends on this date or when the authorized need ends, whichever occurs first, unless reapproved.</w:t>
      </w:r>
    </w:p>
    <w:p>
      <w:r>
        <w:rPr>
          <w:b/>
        </w:rPr>
        <w:t xml:space="preserve">E6 Users and systems </w:t>
      </w:r>
      <w:r>
        <w:t>Named users or authorized roles, approved service identities, locations, hosting environments and processors: [Complete]. Approved subcontractors: [List / none].</w:t>
      </w:r>
    </w:p>
    <w:p>
      <w:r>
        <w:rPr>
          <w:b/>
        </w:rPr>
        <w:t xml:space="preserve">E7 Outputs and disposition </w:t>
      </w:r>
      <w:r>
        <w:t>Deliverables, approved public outputs, sponsor handoff, retention, deletion and certification: [Complete consistent with Attachment B].</w:t>
      </w:r>
    </w:p>
    <w:p>
      <w:r>
        <w:rPr>
          <w:b/>
        </w:rPr>
        <w:t xml:space="preserve">E8 Acceptance route </w:t>
      </w:r>
      <w:r>
        <w:t>[Signed Attachment A / attached enforceable undertaking identifying master and dataset versions]. Applicable governing law and forum and any public entity terms: [Complete].</w:t>
      </w:r>
    </w:p>
    <w:p>
      <w:r>
        <w:t>The Contractor certifies the information above is accurate, accepts the applicable obligations, will use access only for the sponsoring project, will not reuse data for other clients or model training without express authorization, and will return or delete data when its authorization ends, subject to approved surviving rights and legal retention. The Sponsor confirms the need and scope, shall notify the Operator promptly when access should end, and shall oversee compliance within its authority.</w:t>
      </w:r>
    </w:p>
    <w:p>
      <w:pPr>
        <w:pStyle w:val="Heading1"/>
      </w:pPr>
      <w:r>
        <w:t>Contractor approval</w:t>
      </w:r>
    </w:p>
    <w:p>
      <w:r>
        <w:t>Signature: ______________________________  Date: __________________</w:t>
      </w:r>
    </w:p>
    <w:p>
      <w:r>
        <w:t>Name and title: __________________________________________________</w:t>
      </w:r>
    </w:p>
    <w:p>
      <w:pPr>
        <w:pStyle w:val="Heading1"/>
      </w:pPr>
      <w:r>
        <w:t>Sponsoring Participant approval</w:t>
      </w:r>
    </w:p>
    <w:p>
      <w:r>
        <w:t>Signature: ______________________________  Date: __________________</w:t>
      </w:r>
    </w:p>
    <w:p>
      <w:r>
        <w:t>Name and title: __________________________________________________</w:t>
      </w:r>
    </w:p>
    <w:p>
      <w:pPr>
        <w:pStyle w:val="Heading1"/>
      </w:pPr>
      <w:r>
        <w:t>Operator access approval</w:t>
      </w:r>
    </w:p>
    <w:p>
      <w:r>
        <w:t>Signature: ______________________________  Date: __________________</w:t>
      </w:r>
    </w:p>
    <w:p>
      <w:r>
        <w:t>Name and title: __________________________________________________</w:t>
      </w:r>
    </w:p>
    <w:p>
      <w:r>
        <w:t>Provider approval required by Attachment B: [Approval reference / not required]</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INODE Universal Data Sharing Agreement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40" w:lineRule="auto"/>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40" w:lineRule="auto"/>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INODE Universal Data Sharing Agreement</dc:title>
  <dc:subject>Master participation terms and dataset authorization schedules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