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c8d9809bf206b424e6a503dcec47e31830ffdd2"/>
    <w:p>
      <w:pPr>
        <w:pStyle w:val="Heading1"/>
      </w:pPr>
      <w:r>
        <w:t xml:space="preserve">Federal Research Needs — Digital Infrastructure Interoperability</w:t>
      </w:r>
    </w:p>
    <w:p>
      <w:pPr>
        <w:pStyle w:val="FirstParagraph"/>
      </w:pPr>
      <w:r>
        <w:rPr>
          <w:b/>
          <w:bCs/>
        </w:rPr>
        <w:t xml:space="preserve">Talking Points · RTCC Meeting</w:t>
      </w:r>
      <w:r>
        <w:t xml:space="preserve"> </w:t>
      </w:r>
      <w:r>
        <w:rPr>
          <w:b/>
          <w:bCs/>
        </w:rPr>
        <w:t xml:space="preserve">Matt Miller · May 2026</w:t>
      </w:r>
    </w:p>
    <w:p>
      <w:pPr>
        <w:pStyle w:val="BodyText"/>
      </w:pPr>
      <w:r>
        <w:t xml:space="preserve">Framing: every item below is a recommendation for federal research investment to operationalize the September 2025 RTCC Letter Report. Nothing here proposes any product, system, or service for adoption.</w:t>
      </w:r>
    </w:p>
    <w:p>
      <w:r>
        <w:pict>
          <v:rect style="width:0;height:1.5pt" o:hralign="center" o:hrstd="t" o:hr="t"/>
        </w:pict>
      </w:r>
    </w:p>
    <w:bookmarkStart w:id="9" w:name="measurement-of-interoperability-research"/>
    <w:p>
      <w:pPr>
        <w:pStyle w:val="Heading2"/>
      </w:pPr>
      <w:r>
        <w:t xml:space="preserve">1. Measurement-of-Interoperability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A sustained, public federal research program that empirically measures the conformance, quality, and interoperability of public digital infrastructure feeds.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now:</w:t>
      </w:r>
    </w:p>
    <w:p>
      <w:pPr>
        <w:pStyle w:val="Compact"/>
        <w:numPr>
          <w:ilvl w:val="1"/>
          <w:numId w:val="1002"/>
        </w:numPr>
      </w:pPr>
      <w:r>
        <w:t xml:space="preserve">Approximately</w:t>
      </w:r>
      <w:r>
        <w:t xml:space="preserve"> </w:t>
      </w:r>
      <w:r>
        <w:rPr>
          <w:b/>
          <w:bCs/>
        </w:rPr>
        <w:t xml:space="preserve">21 states publish no public WZDx feed of any kind</w:t>
      </w:r>
      <w:r>
        <w:t xml:space="preserve"> </w:t>
      </w:r>
      <w:r>
        <w:t xml:space="preserve">(per the USDOT WZDx Feed Registry, May 2026)</w:t>
      </w:r>
    </w:p>
    <w:p>
      <w:pPr>
        <w:pStyle w:val="Compact"/>
        <w:numPr>
          <w:ilvl w:val="1"/>
          <w:numId w:val="1002"/>
        </w:numPr>
      </w:pPr>
      <w:r>
        <w:t xml:space="preserve">Among states that do publish: invalid GeoJSON, expired TLS certs, inconsistent field population, divergent lifecycle conventions</w:t>
      </w:r>
    </w:p>
    <w:p>
      <w:pPr>
        <w:pStyle w:val="Compact"/>
        <w:numPr>
          <w:ilvl w:val="1"/>
          <w:numId w:val="1002"/>
        </w:numPr>
      </w:pPr>
      <w:r>
        <w:t xml:space="preserve">The federal registry is a</w:t>
      </w:r>
      <w:r>
        <w:t xml:space="preserve"> </w:t>
      </w:r>
      <w:r>
        <w:rPr>
          <w:b/>
          <w:bCs/>
        </w:rPr>
        <w:t xml:space="preserve">directory</w:t>
      </w:r>
      <w:r>
        <w:t xml:space="preserve">, not a measurement program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Recommended owner:</w:t>
      </w:r>
      <w:r>
        <w:t xml:space="preserve"> </w:t>
      </w:r>
      <w:r>
        <w:t xml:space="preserve">FHWA RD&amp;T / TFHRC, with NCHRP support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methodology, publicly-reported per-producer measurements, refreshed continuously</w:t>
      </w:r>
    </w:p>
    <w:bookmarkEnd w:id="9"/>
    <w:bookmarkStart w:id="10" w:name="X2e08c8497c6097a69c2408c74bcd1686f839ebf"/>
    <w:p>
      <w:pPr>
        <w:pStyle w:val="Heading2"/>
      </w:pPr>
      <w:r>
        <w:t xml:space="preserve">2. Authoritative Cross-Specification Crosswalk Research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Federally-funded research producing authoritative reference crosswalks between the specs operations consumers must integrate together.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The dominant integration cost is</w:t>
      </w:r>
      <w:r>
        <w:t xml:space="preserve"> </w:t>
      </w:r>
      <w:r>
        <w:rPr>
          <w:b/>
          <w:bCs/>
        </w:rPr>
        <w:t xml:space="preserve">translation</w:t>
      </w:r>
      <w:r>
        <w:t xml:space="preserve">, not specification quality. Every multi-state integrator independently reinvents the same mappings, and the mappings silently diverge.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Specs in scope:</w:t>
      </w:r>
    </w:p>
    <w:p>
      <w:pPr>
        <w:pStyle w:val="Compact"/>
        <w:numPr>
          <w:ilvl w:val="1"/>
          <w:numId w:val="1004"/>
        </w:numPr>
      </w:pPr>
      <w:r>
        <w:t xml:space="preserve">WZDx ↔ TMDD ↔ CIFS ↔ CWZ 1.0 ↔ SAE J2735 ↔ Common Alerting Protocol</w:t>
      </w:r>
    </w:p>
    <w:p>
      <w:pPr>
        <w:pStyle w:val="Compact"/>
        <w:numPr>
          <w:ilvl w:val="1"/>
          <w:numId w:val="1004"/>
        </w:numPr>
      </w:pPr>
      <w:r>
        <w:t xml:space="preserve">Event-type vocabularies, severity scales, lifecycle conventions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Recommended owner:</w:t>
      </w:r>
      <w:r>
        <w:t xml:space="preserve"> </w:t>
      </w:r>
      <w:r>
        <w:t xml:space="preserve">FHWA RD&amp;T in coordination with the relevant standards bodies (SAE, ITE, AASHTO)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crosswalks as research publications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at least one open-source reference normalization implementation</w:t>
      </w:r>
    </w:p>
    <w:bookmarkEnd w:id="10"/>
    <w:bookmarkStart w:id="11" w:name="Xce3775d9f87592150bc2def8f6a2b87725dc075"/>
    <w:p>
      <w:pPr>
        <w:pStyle w:val="Heading2"/>
      </w:pPr>
      <w:r>
        <w:t xml:space="preserve">3. Sub-State and Regional Digital Infrastructure Research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Characterize the sub-state and regional layer of digital infrastructure — prevalence, conformance, overlap, and harmonization levers.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now:</w:t>
      </w:r>
    </w:p>
    <w:p>
      <w:pPr>
        <w:pStyle w:val="Compact"/>
        <w:numPr>
          <w:ilvl w:val="1"/>
          <w:numId w:val="1006"/>
        </w:numPr>
      </w:pPr>
      <w:r>
        <w:t xml:space="preserve">Sub-state producers fill real coverage gaps state DOTs don’t (e.g., City of Austin, St. Charles County, Maricopa County, Quebec City)</w:t>
      </w:r>
    </w:p>
    <w:p>
      <w:pPr>
        <w:pStyle w:val="Compact"/>
        <w:numPr>
          <w:ilvl w:val="1"/>
          <w:numId w:val="1006"/>
        </w:numPr>
      </w:pPr>
      <w:r>
        <w:t xml:space="preserve">Where they overlap with state-level feeds, they overlap</w:t>
      </w:r>
      <w:r>
        <w:t xml:space="preserve"> </w:t>
      </w:r>
      <w:r>
        <w:rPr>
          <w:b/>
          <w:bCs/>
        </w:rPr>
        <w:t xml:space="preserve">incompatibly</w:t>
      </w:r>
      <w:r>
        <w:t xml:space="preserve"> </w:t>
      </w:r>
      <w:r>
        <w:t xml:space="preserve">(PennDOT vs. PA Turnpike; IDOT vs. Illinois Tollway vs. City of Chicago)</w:t>
      </w:r>
    </w:p>
    <w:p>
      <w:pPr>
        <w:pStyle w:val="Compact"/>
        <w:numPr>
          <w:ilvl w:val="1"/>
          <w:numId w:val="1006"/>
        </w:numPr>
      </w:pPr>
      <w:r>
        <w:t xml:space="preserve">The MAASTO TPIMS coalition shows federal harmonization at this layer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work — Indiana’s non-conforming TPIMS feed shows where it currently doesn’t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Recommended owner:</w:t>
      </w:r>
      <w:r>
        <w:t xml:space="preserve"> </w:t>
      </w:r>
      <w:r>
        <w:t xml:space="preserve">FHWA RD&amp;T, jointly with NCHRP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Inventory + conformance assessment + policy-lever analysis for harmonizing sub-state producers with state-level feeds</w:t>
      </w:r>
    </w:p>
    <w:bookmarkEnd w:id="11"/>
    <w:bookmarkStart w:id="12" w:name="X7add52dbdc98014dbff535d3ac3c89d490d3d8f"/>
    <w:p>
      <w:pPr>
        <w:pStyle w:val="Heading2"/>
      </w:pPr>
      <w:r>
        <w:t xml:space="preserve">4. Downstream-Cost Research on TFHRC External-Engagement Constraints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Quantify the practitioner-side and state-DOT-side cost of the constraints on TFHRC researchers’ external engagement that the September 2025 Letter Report (Recommendation 2) flags as a process concern.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now:</w:t>
      </w:r>
    </w:p>
    <w:p>
      <w:pPr>
        <w:pStyle w:val="Compact"/>
        <w:numPr>
          <w:ilvl w:val="1"/>
          <w:numId w:val="1008"/>
        </w:numPr>
      </w:pPr>
      <w:r>
        <w:t xml:space="preserve">HSIS partial dark-out has removed reference datasets practitioners had been using</w:t>
      </w:r>
    </w:p>
    <w:p>
      <w:pPr>
        <w:pStyle w:val="Compact"/>
        <w:numPr>
          <w:ilvl w:val="1"/>
          <w:numId w:val="1008"/>
        </w:numPr>
      </w:pPr>
      <w:r>
        <w:t xml:space="preserve">Reduced detail in AMRP and TFHRC Long-Range Plan publications reduces downstream practitioners’ ability to orient to active federal research lines</w:t>
      </w:r>
    </w:p>
    <w:p>
      <w:pPr>
        <w:pStyle w:val="Compact"/>
        <w:numPr>
          <w:ilvl w:val="1"/>
          <w:numId w:val="1008"/>
        </w:numPr>
      </w:pPr>
      <w:r>
        <w:t xml:space="preserve">These costs are real, distributed, and largely invisible to FHWA today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Recommended owner:</w:t>
      </w:r>
      <w:r>
        <w:t xml:space="preserve"> </w:t>
      </w:r>
      <w:r>
        <w:t xml:space="preserve">TRB / Cooperative Research Program, in support of the Letter Report’s existing recommendation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Empirical characterization of the downstream cost, suitable for informing process changes inside FHWA</w:t>
      </w:r>
    </w:p>
    <w:bookmarkEnd w:id="12"/>
    <w:bookmarkStart w:id="13" w:name="X0a9f0cc509a089f6cc763ae6c326b51a656a2b5"/>
    <w:p>
      <w:pPr>
        <w:pStyle w:val="Heading2"/>
      </w:pPr>
      <w:r>
        <w:t xml:space="preserve">5. Independent Comparative Evaluation Methodology for Commercial Transportation Data Products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Open methodology for head-to-head, methodologically-transparent evaluation of commercial probe, incident, and work-zone data products.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 now:</w:t>
      </w:r>
    </w:p>
    <w:p>
      <w:pPr>
        <w:pStyle w:val="Compact"/>
        <w:numPr>
          <w:ilvl w:val="1"/>
          <w:numId w:val="1010"/>
        </w:numPr>
      </w:pPr>
      <w:r>
        <w:t xml:space="preserve">State DOTs replicate substantially the same RFP and vendor-comparison work, in isolation, each procurement cycle</w:t>
      </w:r>
    </w:p>
    <w:p>
      <w:pPr>
        <w:pStyle w:val="Compact"/>
        <w:numPr>
          <w:ilvl w:val="1"/>
          <w:numId w:val="1010"/>
        </w:numPr>
      </w:pPr>
      <w:r>
        <w:t xml:space="preserve">No federally-curated, published evaluation methodology exists for this product category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Recommended owner:</w:t>
      </w:r>
      <w:r>
        <w:t xml:space="preserve"> </w:t>
      </w:r>
      <w:r>
        <w:t xml:space="preserve">FHWA RD&amp;T + NCHRP joint topic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 + empirical findings.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procurement recommendation or product endorsement — a research artifact states can draw on for their own evaluations</w:t>
      </w:r>
    </w:p>
    <w:p>
      <w:r>
        <w:pict>
          <v:rect style="width:0;height:1.5pt" o:hralign="center" o:hrstd="t" o:hr="t"/>
        </w:pict>
      </w:r>
    </w:p>
    <w:bookmarkEnd w:id="13"/>
    <w:bookmarkStart w:id="14" w:name="what-i-am-not-asking-for"/>
    <w:p>
      <w:pPr>
        <w:pStyle w:val="Heading2"/>
      </w:pPr>
      <w:r>
        <w:t xml:space="preserve">What I am NOT asking for</w:t>
      </w:r>
    </w:p>
    <w:p>
      <w:pPr>
        <w:pStyle w:val="Compact"/>
        <w:numPr>
          <w:ilvl w:val="0"/>
          <w:numId w:val="1011"/>
        </w:numPr>
      </w:pPr>
      <w:r>
        <w:t xml:space="preserve">No specific system, product, or service for the committee to evaluate, fund, or adopt</w:t>
      </w:r>
    </w:p>
    <w:p>
      <w:pPr>
        <w:pStyle w:val="Compact"/>
        <w:numPr>
          <w:ilvl w:val="0"/>
          <w:numId w:val="1011"/>
        </w:numPr>
      </w:pPr>
      <w:r>
        <w:t xml:space="preserve">No procurement guidance</w:t>
      </w:r>
    </w:p>
    <w:p>
      <w:pPr>
        <w:pStyle w:val="Compact"/>
        <w:numPr>
          <w:ilvl w:val="0"/>
          <w:numId w:val="1011"/>
        </w:numPr>
      </w:pPr>
      <w:r>
        <w:t xml:space="preserve">No federal scoring of states as a regulatory function</w:t>
      </w:r>
    </w:p>
    <w:p>
      <w:pPr>
        <w:pStyle w:val="FirstParagraph"/>
      </w:pPr>
      <w:r>
        <w:t xml:space="preserve">All recommendations above are recommendations for</w:t>
      </w:r>
      <w:r>
        <w:t xml:space="preserve"> </w:t>
      </w:r>
      <w:r>
        <w:rPr>
          <w:b/>
          <w:bCs/>
        </w:rPr>
        <w:t xml:space="preserve">federal research</w:t>
      </w:r>
      <w:r>
        <w:t xml:space="preserve"> </w:t>
      </w:r>
      <w:r>
        <w:t xml:space="preserve">to advance interoperability in support of the digital infrastructure direction the Committee has already endorsed.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2026-05-11T22:42:06Z</dcterms:created>
  <dcterms:modified xsi:type="dcterms:W3CDTF">2026-05-11T22:42:06Z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