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spacing w:lineRule="exact" w:line="200" w:before="0" w:after="200"/>
        <w:contextualSpacing/>
        <w:jc w:val="center"/>
        <w:rPr/>
      </w:pPr>
      <w:r>
        <w:rPr>
          <w:rFonts w:cs="Times New Roman" w:ascii="Times New Roman" w:hAnsi="Times New Roman"/>
        </w:rPr>
        <w:t>ДОГОВОР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оказание услуг по обращению с твердыми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коммунальными отходами</w:t>
      </w:r>
    </w:p>
    <w:p>
      <w:pPr>
        <w:pStyle w:val="ConsPlusNormal"/>
        <w:spacing w:lineRule="exact" w:line="200"/>
        <w:jc w:val="center"/>
        <w:rPr/>
      </w:pPr>
      <w:r>
        <w:rPr>
          <w:rFonts w:cs="Times New Roman" w:ascii="Times New Roman" w:hAnsi="Times New Roman"/>
        </w:rPr>
        <w:t xml:space="preserve">№ </w:t>
      </w:r>
      <w:r>
        <w:rPr>
          <w:rFonts w:cs="Times New Roman" w:ascii="Times New Roman" w:hAnsi="Times New Roman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 xml:space="preserve">consumer.number_contract </w:t>
      </w:r>
      <w:r>
        <w:rPr>
          <w:rFonts w:cs="Times New Roman" w:ascii="Times New Roman" w:hAnsi="Times New Roman"/>
        </w:rPr>
        <w:t>}}</w:t>
      </w:r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contextualSpacing/>
        <w:jc w:val="left"/>
        <w:rPr/>
      </w:pPr>
      <w:r>
        <w:rPr>
          <w:rFonts w:cs="Times New Roman" w:ascii="Times New Roman" w:hAnsi="Times New Roman"/>
        </w:rPr>
        <w:t>г</w:t>
      </w:r>
      <w:r>
        <w:rPr>
          <w:rFonts w:cs="Times New Roman" w:ascii="Times New Roman" w:hAnsi="Times New Roman"/>
          <w:lang w:val="en-US"/>
        </w:rPr>
        <w:t>.</w:t>
      </w:r>
      <w:r>
        <w:rPr>
          <w:rFonts w:cs="Times New Roman" w:ascii="Times New Roman" w:hAnsi="Times New Roman"/>
        </w:rPr>
        <w:t>Новокузнецк</w:t>
      </w:r>
      <w:r>
        <w:rPr>
          <w:rFonts w:cs="Times New Roman" w:ascii="Times New Roman" w:hAnsi="Times New Roman"/>
          <w:lang w:val="en-US"/>
        </w:rPr>
        <w:t xml:space="preserve">                                                                                                                                             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%}__/___________/20__ г.{% endif %}</w:t>
      </w:r>
    </w:p>
    <w:p>
      <w:pPr>
        <w:pStyle w:val="ConsPlusNonformat"/>
        <w:spacing w:lineRule="exact" w:line="200" w:before="0" w:after="20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</w:t>
      </w:r>
    </w:p>
    <w:p>
      <w:pPr>
        <w:pStyle w:val="ConsPlusNonformat"/>
        <w:spacing w:lineRule="exact" w:line="200" w:before="0" w:after="200"/>
        <w:ind w:firstLine="426"/>
        <w:contextualSpacing/>
        <w:jc w:val="both"/>
        <w:rPr/>
      </w:pP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Общество с ограниченной ответственностью «Экологические Технологии» (ООО «ЭкоТек»), именуемое в дальнейшем «Региональный оператор», в лице Управляющего директора Функа Андрея Ивановича, действующего на основании Генеральной доверенности от __________, Лицензии на осуществление деятельности по сбору, транспортированию, обработке, утилизации, обезвреживанию, размещению отходов 1-4 классов опасности от 18.01.2016г №04200202, выданной Управлением Росприроднадзора по Кемеровской области и Соглашения  от 27.10.2017г об организации деятельности по обращению с твердыми коммунальными отходами на территории зоны «Юг» Кемеровской области, заключенного с департаментом жилищно-коммунального и дорожного комплекса Кемеровской области по результатам конкурсного отбора (далее – Соглашение), с одной стороны, и {{ consumer.dadata_name }}</w:t>
      </w:r>
      <w:r>
        <w:rPr>
          <w:rFonts w:cs="Times New Roman" w:ascii="Times New Roman" w:hAnsi="Times New Roman"/>
        </w:rPr>
        <w:t>, именуемое в дальнейшем Потребитель, в лице</w:t>
      </w:r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consumer.director_status %}{{ consumer.director_status|gent_case_filter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</w:t>
      </w:r>
      <w:bookmarkStart w:id="0" w:name="__DdeLink__3307_358691057"/>
      <w:r>
        <w:rPr>
          <w:rFonts w:eastAsia="" w:cs="Times New Roman" w:ascii="Times New Roman" w:hAnsi="Times New Roman" w:eastAsiaTheme="minorEastAsia"/>
          <w:color w:val="000000"/>
        </w:rPr>
        <w:t>{% endif %}</w:t>
      </w:r>
      <w:bookmarkEnd w:id="0"/>
      <w:r>
        <w:rPr>
          <w:rFonts w:eastAsia="" w:cs="Times New Roman" w:ascii="Times New Roman" w:hAnsi="Times New Roman" w:eastAsiaTheme="minorEastAsia"/>
          <w:color w:val="000000"/>
        </w:rPr>
        <w:t xml:space="preserve"> {% if consumer.director_name %}{{ consumer.director_name|gent_case_filter }}{% else %}</w:t>
      </w:r>
      <w:r>
        <w:rPr>
          <w:rFonts w:eastAsia="" w:cs="Times New Roman" w:ascii="Times New Roman" w:hAnsi="Times New Roman" w:eastAsiaTheme="minorEastAsia"/>
          <w:color w:val="000000"/>
          <w:sz w:val="20"/>
          <w:szCs w:val="20"/>
          <w:lang w:val="en-US"/>
        </w:rPr>
        <w:t>_________________________________________</w:t>
      </w:r>
      <w:r>
        <w:rPr>
          <w:rFonts w:eastAsia="" w:cs="Times New Roman" w:ascii="Times New Roman" w:hAnsi="Times New Roman" w:eastAsiaTheme="minorEastAsia"/>
          <w:color w:val="000000"/>
        </w:rPr>
        <w:t>{% endif %}</w:t>
      </w:r>
      <w:r>
        <w:rPr>
          <w:rFonts w:cs="Times New Roman" w:ascii="Times New Roman" w:hAnsi="Times New Roman"/>
          <w:color w:val="000000"/>
        </w:rPr>
        <w:t>, действующего на основании</w:t>
      </w:r>
      <w:r>
        <w:rPr>
          <w:rFonts w:cs="Times New Roman" w:ascii="Times New Roman" w:hAnsi="Times New Roman"/>
        </w:rPr>
        <w:t xml:space="preserve"> __________</w:t>
      </w:r>
      <w:r>
        <w:rPr>
          <w:rFonts w:cs="Times New Roman" w:ascii="Times New Roman" w:hAnsi="Times New Roman"/>
        </w:rPr>
        <w:t>______________</w:t>
      </w:r>
      <w:r>
        <w:rPr>
          <w:rFonts w:cs="Times New Roman" w:ascii="Times New Roman" w:hAnsi="Times New Roman"/>
        </w:rPr>
        <w:t xml:space="preserve"> с другой стороны, именуемые в дальнейшем сторонами, заключили настоящий договор о нижеследующем: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I. Предмет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(далее – ТКО) в объеме и в месте, которые определены в настоящем договоре, и обеспечивать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Для целей настоящего договора используются следующие термины и определения: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cs="Times New Roman" w:ascii="Times New Roman" w:hAnsi="Times New Roman"/>
          <w:b/>
          <w:sz w:val="20"/>
          <w:szCs w:val="20"/>
        </w:rPr>
        <w:t>Твердые коммунальные отходы (ТКО)</w:t>
      </w:r>
      <w:r>
        <w:rPr>
          <w:rFonts w:cs="Times New Roman" w:ascii="Times New Roman" w:hAnsi="Times New Roman"/>
          <w:sz w:val="20"/>
          <w:szCs w:val="20"/>
        </w:rPr>
        <w:t xml:space="preserve"> -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отходы, образующиеся в жилых помещениях в процессе потребления физическими лицами, а также товары,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нужд. К ТКО также относятся отходы, образующиеся в процессе деятельности юридических лиц, индивидуальных предпринимателей и подобные по составу отходам, образующимся в жилых помещениях в процессе потребления физическими лицами. 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Крупногабаритные отходы (далее - КГО)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– ТКО негабаритных размеров, превышающих объем типовых контейнеров (0,75м3, 1,1м3);</w:t>
      </w:r>
    </w:p>
    <w:p>
      <w:pPr>
        <w:pStyle w:val="Normal"/>
        <w:spacing w:lineRule="exact" w:line="200" w:before="0" w:after="200"/>
        <w:ind w:firstLine="54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0"/>
          <w:szCs w:val="20"/>
        </w:rPr>
        <w:t>Норматив накопления твердых коммунальных отходов</w:t>
      </w:r>
      <w:r>
        <w:rPr>
          <w:rFonts w:cs="Times New Roman" w:ascii="Times New Roman" w:hAnsi="Times New Roman"/>
          <w:sz w:val="20"/>
          <w:szCs w:val="20"/>
        </w:rPr>
        <w:t xml:space="preserve"> - среднее количество твердых коммунальных отходов, образующихся в единицу времени. Определяется в соответствии с Постановлением РЭК Кемеровской области от 27.04.2017г №58 "Об установлении нормативов накопления твердых коммунальных отходов";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Объем ТКО, места накопления ТКО, в том числе КГО, и периодичность вывоза ТКО, а также информация о размещении мест накопления ТКО и подъездных путей к ним (за исключением жилых домов) определяются согласно приложению к настоящему договору.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Способ складирования ТКО определяется с учетом имеющихся технологических возможностей и осуществляется следующим образом: в контейнеры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nformat"/>
        <w:spacing w:lineRule="exact" w:line="200" w:before="0" w:after="200"/>
        <w:ind w:firstLine="709"/>
        <w:contextualSpacing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</w:rPr>
        <w:t>Складирование КГО осуществляется следующим способом: без контейнера</w:t>
      </w:r>
      <w:r>
        <w:rPr/>
        <w:t>.</w:t>
      </w: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4. Дата начала оказания услуг по обращению с ТКО </w:t>
      </w:r>
      <w:r>
        <w:rPr>
          <w:rFonts w:eastAsia="" w:cs="Times New Roman" w:ascii="Times New Roman" w:hAnsi="Times New Roman" w:eastAsiaTheme="minorEastAsia"/>
          <w:color w:val="000000"/>
        </w:rPr>
        <w:t>{{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</w:rPr>
        <w:t>consumer.</w:t>
      </w:r>
      <w:r>
        <w:rPr>
          <w:rFonts w:eastAsia="" w:cs="Times New Roman" w:ascii="Times New Roman" w:hAnsi="Times New Roman" w:eastAsiaTheme="minorEastAsia"/>
          <w:color w:val="000000"/>
        </w:rPr>
        <w:t>contract_accept_date|pretty_date_filter }}г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II. Сроки и порядок оплаты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 xml:space="preserve">5.  Под  расчетным  периодом  по  настоящему  договору  понимается один календарный  месяц.  Оплата  услуг по настоящему договору осуществляется по цене, определенной в пределах утвержденного в установленном порядке единого тарифа на услугу Регионального оператора. Информирование Потребителя о едином тарифе на услугу Регионального оператора осуществляется Региональным оператором путем публикации в средствах массовой информации и размещения информации на официальном сайте Регионального оператора </w:t>
      </w:r>
      <w:hyperlink r:id="rId2">
        <w:r>
          <w:rPr>
            <w:rFonts w:cs="Times New Roman" w:ascii="Times New Roman" w:hAnsi="Times New Roman"/>
          </w:rPr>
          <w:t>http://kuzro.ru</w:t>
        </w:r>
      </w:hyperlink>
      <w:r>
        <w:rPr>
          <w:rFonts w:cs="Times New Roman" w:ascii="Times New Roman" w:hAnsi="Times New Roman"/>
        </w:rPr>
        <w:t xml:space="preserve">  или любым доступным способом (почтовое отправление, телеграмма, факсограмма, телефонограмма, платежный документ) в течение 15 дней с момента утверждения в установленном порядке единого тарифа на услугу Регионального оператора. Стороны признают размещение информации посредством публикации в СМИ и в сети Интернет на сайте Регионального оператора надлежащим уведомлением.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Непосредственный расчет ежемесячной платы по договору отражается в платежном документе (квитанция, счет на оплату – в печатном или электронном виде путем размещения в информационной системе) и личном  кабинете Потребителя на сайте Регионального оператора. Начисление платы производится Потребителю с даты начала оказания услуг, указанной в п.4 настоящего договора.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Акт оказанных услуг предоставляется Потребителю в срок до 05 числа месяца, следующего за отчетным, путем публикации в личном кабинете Потребителя. Акт оказанных услуг на бумажном носителе предоставляется Потребителю по адресу места нахождения  Регионального оператора.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Потребитель оплачивает услуги по обращению с ТКО до 10-го числа месяца, следующего за месяцем, в котором была оказана услуга по обращению с ТКО.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 и подписанным обеими сторонами.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Стороны пришли к соглашению, что сверка расчетов, указанная в п.7 настоящего договора, может быть заменена на запрос и получение данных с использованием интернет-ресурса через личный кабинет на официальном сайте Регионального оператора либо посредством обращения в офис Регионального оператора для получения выписки из лицевого счета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III. Бремя содержания контейнерных площадок, специальных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площадок для складирования КГО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9. Региональный оператор по обращению с ТКО отвечает за обращение с ТКО с момента погрузки таких отходов в мусоровоз в местах накопления ТКО. </w:t>
      </w:r>
    </w:p>
    <w:p>
      <w:pPr>
        <w:pStyle w:val="ConsPlusNormal"/>
        <w:spacing w:lineRule="exact" w:line="200" w:before="0" w:after="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 Бремя содержания контейнерных площадок, специальных площадок для складирования крупногабаритных отходов и территории, прилегающей к месту погрузки твердых коммунальных отходов, расположенных на придомовой территории, входящей в состав общего имущества собственников помещений в многоквартирном доме, несут собственники помещений в многоквартирном доме.</w:t>
      </w:r>
    </w:p>
    <w:p>
      <w:pPr>
        <w:pStyle w:val="ConsPlusNormal"/>
        <w:spacing w:lineRule="exact" w:line="200" w:before="0" w:after="20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11. Бремя содержания контейнерных площадок, специальных площадок для складирования крупногабаритных отходов и территории, прилегающей к месту погрузки твердых коммунальных отходов, не входящих в состав общего имущества собственников помещений в многоквартирных домах, несут собственники земельного участка, на котором расположены такие площадки и территория.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IV. Права и обязанности сторон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12. Региональный оператор обязан: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 xml:space="preserve">а) принимать ТКО в объеме и в месте, которые определены в </w:t>
      </w:r>
      <w:hyperlink w:anchor="Par329" w:tgtFrame="ИНФОРМАЦИЯ ПО ПРЕДМЕТУ ДОГОВОРА">
        <w:r>
          <w:rPr>
            <w:rFonts w:cs="Times New Roman" w:ascii="Times New Roman" w:hAnsi="Times New Roman"/>
            <w:color w:val="0000FF"/>
          </w:rPr>
          <w:t>приложении</w:t>
        </w:r>
      </w:hyperlink>
      <w:r>
        <w:rPr>
          <w:rFonts w:cs="Times New Roman" w:ascii="Times New Roman" w:hAnsi="Times New Roman"/>
        </w:rPr>
        <w:t xml:space="preserve"> к настоящему договору;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б) обеспечивать транспортирование, обработку, обезвреживание, захоронение принятых ТКО в соответствии с законодательством Российской Федерации;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в) предоставлять Потребителю информацию в соответствии со «Стандартом раскрытия информации в области обращения с твердыми коммунальными отходами», утвержденного постановлением Правительства РФ от 21 июня 2016 г. N 564;</w:t>
      </w:r>
    </w:p>
    <w:p>
      <w:pPr>
        <w:pStyle w:val="ConsPlusNormal"/>
        <w:widowControl w:val="false"/>
        <w:tabs>
          <w:tab w:val="clear" w:pos="708"/>
          <w:tab w:val="left" w:pos="536" w:leader="none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>
      <w:pPr>
        <w:pStyle w:val="ConsPlusNormal"/>
        <w:widowControl w:val="false"/>
        <w:tabs>
          <w:tab w:val="clear" w:pos="708"/>
          <w:tab w:val="left" w:pos="793" w:leader="none"/>
        </w:tabs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д) в случае, предусмотренном п.18 настоящего договора, устранять допущенные нарушения в срок, не превышающий 1 (одни) сутки с даты и времени поступления уведомления о нарушении условий настоящего договора.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Региональный оператор имеет право: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контроль за учетом объема и (или) массы принятых ТКО;</w:t>
      </w:r>
    </w:p>
    <w:p>
      <w:pPr>
        <w:pStyle w:val="ConsPlusNormal"/>
        <w:widowControl w:val="false"/>
        <w:tabs>
          <w:tab w:val="clear" w:pos="708"/>
          <w:tab w:val="left" w:pos="568" w:leader="none"/>
        </w:tabs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в целях исполнения обязательств по настоящему договору привлекать третьих лиц, при этом ответственность перед Потребителем за действия третьих лиц несет Региональный оператор;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не принимать от Потребителя отходы, не относящиеся к ТКО согласно действующего Федерального классификационного каталога отходов;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д) приостановить оказание услуг в случае нарушения Потребителем сроков и порядка оплаты, предусмотренных п.6 настоящего договора, в порядке и по основаниям, предусмотренным действующим законодательством РФ.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 Потребитель обязан: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осуществлять складирование ТКО в местах накопления ТКО, определенных договором на оказание услуг по обращению с ТКО, в соответствии с территориальной схемой обращения с отходами;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обеспечивать учет объема и (или) массы ТКО в соответствии с Правилами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производить оплату по настоящему договору в порядке, размере и сроки, которые определены настоящим договором;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г) обеспечивать складирование ТКО в контейнеры или иные места в соответствии с Приложением к настоящему договору;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д) не допускать повреждения контейнеров, сжигания ТКО в контейнерах, а также на контейнерных площадках, складирования в контейнерах запрещенных отходов и предметов (ртутные лампы, покрышки отработанные, батарейки);в случае обнаружения возгорания ТКО или КГО в контейнерах и (или) на контейнерной площадке известить  о данном факте органы пожарной службы, принять возможные меры по тушению и известить Регионального оператора по телефону: 8-800-550-5242;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ж) уведомить Регионального оператора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з) сообщать Региональному оператору об изменениях нормообразующих показателей по объектам, их величины, количества объектов образования отходов в течение 15 дней с момента произошедших изменений;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и) перерасчет за оказанные услуги по обращению с ТКО производится Региональным оператором только на основании документов, подтверждающих факт увеличения/уменьшения количества проживающих лиц, добавления/исключения объектов Потребителя на основании цен, тарифов и норм, действующих в каждый период, но не более чем с начала текущего календарного года;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к) обеспечить в местах накопления ТКО наличие контейнеров в количестве, необходимом исходя из объема ТКО в соответствии с Приложением к настоящему договору, а также поддержание таких контейнеров в технически исправном состоянии;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л) обеспечить подъездные пути к местам накопления ТКО, исключающие причинение ущерба имущества Регионального оператора, Потребителя и третьих лиц, а также исключающие возникновение угрозы жизни и здоровья персонала Регионального оператора и иным гражданам;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м) предоставить схему движения транспортного средства по территории Потребителя, в целях осуществления вывоза ТКО с места накопления, расположенного на территории Потребителя;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н) изъять из контейнера отходы, не относящиеся к ТКО, такие как, ртутные газоразрядные лампы, солевые, литиевые, серебряные, ртутные и щелочные батарейки, отходы строительные. В случае порчи такими отходами имущества Регионального оператора Потребитель обязан возместить ущерб Региональному оператору.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о) обеспечить транспортным средствам Регионального оператора беспрепятственный въезд и выезд на режимную территорию Потребителя, где находится место сбора и накопления ТКО, для осуществления вывоза ТКО.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п) в случае пропускного и внутриобъектового режима на территории Потребителя обеспечить персонал Регионального оператора документами, предоставляющими право пропуска и пребывания на территории Потребителя.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 Потребитель имеет право: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а) получать от Регионального оператора информацию об изменении установленных тарифов в области обращения с ТКО;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б) инициировать проведение сверки расчетов по настоящему договору;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200"/>
        <w:ind w:left="0" w:right="0" w:firstLine="85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в) направлять Региональному оператору для рассмотрения заявления, связанные с оказанием услуг, в том числе по адресу электронной почты, указанному в разделе ХII, а также посредством использования сайта Регионального оператора (форма для обратной связи);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V. Порядок осуществления учета объема и (или) массы ТКО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16. Стороны согласились производить учет объема и (или) массы ТКО в соответствии с Правилами коммерческого учета объема и (или) массы ТКО,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 расчетным способом исходя из ______________________________________________________</w:t>
      </w:r>
    </w:p>
    <w:p>
      <w:pPr>
        <w:pStyle w:val="ConsPlusNonformat"/>
        <w:spacing w:lineRule="exact" w:line="200" w:before="0" w:after="200"/>
        <w:ind w:firstLine="567"/>
        <w:contextualSpacing/>
        <w:jc w:val="both"/>
        <w:rPr/>
      </w:pPr>
      <w:r>
        <w:rPr>
          <w:rFonts w:cs="Times New Roman" w:ascii="Times New Roman" w:hAnsi="Times New Roman"/>
        </w:rPr>
        <w:t>17. Порядок учета объема и (или) массы ТКО по настоящему договору может быть изменен по соглашению Сторон.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VI. Порядок фиксации нарушений по договору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18. О нарушении обязательств Регионального оператора перед Потребителем по настоящему договору Потребитель до 19 часов 00 минут следующего дня ставит в известность Регионального оператора по телефону 8-800-550-5242 с сообщением номера договора, адреса местонахождения объекта, ФИО и контактного номера телефона. В противном случае Региональный оператор освобождается от ответственности, при этом риск наступления неблагоприятных событий несет Потребитель.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 В случае не устранения допущенных нарушений в срок, предусмотренный п.12 (д) настоящего договора,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Вызов представителя Регионального оператора для составления акта осуществляется Потребителем по телефону 8-800-550-5242 не менее чем за 24 часа до планируемого времени составления акта.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видеофиксации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 Акт должен содержать: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а) сведения о заявителе (наименование, номер договора, адрес местонахождения, ИНН, ОГРН, ФИО заявителя, документ, подтверждающий полномочия заявителя, контактный телефон);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б) сведения об объекте (объектах), на котором образуются ТКО,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в) сведения о нарушении соответствующих пунктов договора;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г) другие сведения по усмотрению стороны, в том числе материалы фото- и видеосъемки.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VII. Ответственность сторон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25. За нарушение правил обращения с ТКО в части складирования ТКО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Федерации;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задержки транспортного средства Регионального оператора на режимной территории Потребителя, последний обязан возместить Региональному оператору убытки, понесенные в связи с простоем транспортного средства.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отсутствия подъездных путей к месту накопления ТКО и наличии документов, подтверждающих, что Региональный оператор исполнил свою обязанность по осуществлению вывоза ТКО, начисление за услугу по обращению с ТКО производится в полном объеме.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26. При неисполнении Потребителем условий, предусмотренных п.6 и п.14 настоящего договора, Региональный оператор оставляет за собой право приостановить исполнение своих обязательств по настоящему договору до устранения нарушений со стороны Потребителя в случаях и порядке, предусмотренном действующим законодательством РФ;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 Региональный оператор освобождается от ответственности за полное или частичное неисполнение обязательств по настоящему договору при наличии обстоятельств, делающих исполнение невозможным. К таким обстоятельствам относятся: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а) отсутствие беспрепятственного доступа мусоровоза к месту накопления отходов (в том числе из-за парковки автомобилей, неочищенных от снега подъездных путей и т.п.);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б) перемещение Потребителем контейнеров с места первичного накопления отходов;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в) возгорание отходов в контейнерах;</w:t>
      </w:r>
    </w:p>
    <w:p>
      <w:pPr>
        <w:pStyle w:val="ConsPlusNormal"/>
        <w:widowControl w:val="false"/>
        <w:suppressAutoHyphens w:val="true"/>
        <w:bidi w:val="0"/>
        <w:spacing w:lineRule="exact" w:line="200" w:before="0" w:after="0"/>
        <w:ind w:left="0" w:right="0" w:firstLine="850"/>
        <w:contextualSpacing/>
        <w:jc w:val="both"/>
        <w:rPr/>
      </w:pPr>
      <w:r>
        <w:rPr>
          <w:rFonts w:cs="Times New Roman" w:ascii="Times New Roman" w:hAnsi="Times New Roman"/>
        </w:rPr>
        <w:t>г) техническая неисправность контейнера.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VIII. Обстоятельства непреодолимой силы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29.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IX. Конфиденциальность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30. Потребитель гарантирует, что предоставленные им персональные данные физических лиц получены законным путем и предоставлены Региональному оператору с согласия таких лиц для целей заключения и исполнения настоящего договора.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31. Региональный оператор обязан обеспечить сохранность таких персональных данных, предоставленных Потребителем для заключения договора, а также ставших известными в связи с исполнением настоящего договора, не передавать информацию, полученную в ходе выполнения договорных обязательств, третьим лицам без согласия Потребителя.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32. Потребитель дает согласие Региональному оператору на то, что платежные документы на оплату оказанных услуг на бумажном носителе направляются и доставляются ему сотрудниками отделений почтовой связи, служб доставки или расчетно-кассовых организаций. В платежном документе указываются: адрес, наименование (ФИО) Потребителя, номер лицевого счета, расчет ежемесячной стоимости оказания услуг.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X. Разрешение споров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0"/>
        <w:ind w:firstLine="567"/>
        <w:contextualSpacing/>
        <w:jc w:val="both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33. </w:t>
      </w:r>
      <w:r>
        <w:rPr>
          <w:rFonts w:eastAsia="Times New Roman" w:cs="Times New Roman" w:ascii="Times New Roman" w:hAnsi="Times New Roman"/>
          <w:color w:val="000000"/>
        </w:rPr>
        <w:t>Все споры, возникающие по настоящему договору, Стороны, по возможности, будут стремиться разрешать путем переговоров с обязательным соблюдением претензионного порядка. Срок рассмотрения претензии составляет 10 (десять) календарных дней с момента ее отправки. При невозможности урегулировать спор путем переговоров споры разрешаются в порядке, предусмотренном действующим законодательством</w:t>
      </w:r>
      <w:r>
        <w:rPr>
          <w:rFonts w:cs="Times New Roman" w:ascii="Times New Roman" w:hAnsi="Times New Roman"/>
        </w:rPr>
        <w:t>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. Действие договора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spacing w:lineRule="exact" w:line="200" w:before="0" w:after="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34. Настоящий договор считается заключенным с даты подписания его Сторонами, указываемой Региональным оператором в правом верхнем углу на первой странице договора, распространяет свое действие на правоотношения Сторон </w:t>
      </w:r>
      <w:r>
        <w:rPr>
          <w:rFonts w:cs="Times New Roman" w:ascii="Times New Roman" w:hAnsi="Times New Roman" w:eastAsiaTheme="minorEastAsia"/>
        </w:rPr>
        <w:t xml:space="preserve">с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}}{% else %}_________________ .{% endif %}</w:t>
      </w:r>
      <w:r>
        <w:rPr>
          <w:rFonts w:cs="Times New Roman" w:ascii="Times New Roman" w:hAnsi="Times New Roman"/>
        </w:rPr>
        <w:t>года, заключается сроком на период действия Соглашения.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35.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36. Настоящий договор может быть расторгнут до окончания срока его действия по соглашению сторон и (или) в случаях и в порядке, предусмотренных действующим законодательством РФ.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</w:t>
      </w:r>
      <w:r>
        <w:rPr>
          <w:rFonts w:cs="Times New Roman" w:ascii="Times New Roman" w:hAnsi="Times New Roman"/>
        </w:rPr>
        <w:t>. Прочие условия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37.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cs="Times New Roman" w:ascii="Times New Roman" w:hAnsi="Times New Roman"/>
        </w:rPr>
        <w:t>38.</w:t>
      </w:r>
      <w:r>
        <w:rPr>
          <w:rFonts w:eastAsia="Times New Roman" w:cs="Times New Roman" w:ascii="Times New Roman" w:hAnsi="Times New Roman"/>
          <w:color w:val="000000"/>
        </w:rPr>
        <w:t xml:space="preserve"> Стороны пришли к соглашению о том, что использование при заключении и исполнении настоящего договора факсимильного воспроизведения подписи с помощью средств механического или иного копирования, электронной подписи либо иного аналога собственноручной подписи приравнивается к собственноручной подписи.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39. </w:t>
      </w:r>
      <w:r>
        <w:rPr>
          <w:rFonts w:eastAsia="Times New Roman" w:cs="Times New Roman" w:ascii="Times New Roman" w:hAnsi="Times New Roman"/>
        </w:rPr>
        <w:t>Стороны признают юридическую силу за электронными письмами – документами, направленными по электронной почте (e-mail),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3">
        <w:r>
          <w:rPr>
            <w:rFonts w:cs="Times New Roman" w:ascii="Times New Roman" w:hAnsi="Times New Roman"/>
            <w:color w:val="0000FF"/>
          </w:rPr>
          <w:t>закона</w:t>
        </w:r>
      </w:hyperlink>
      <w:r>
        <w:rPr>
          <w:rFonts w:cs="Times New Roman" w:ascii="Times New Roman" w:hAnsi="Times New Roman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42. Стороны договорились, что в рамках исполнения настоящего договора для электронного обмена документами между Сторонами принимаются следующие адреса электронной почты:</w:t>
      </w:r>
    </w:p>
    <w:p>
      <w:pPr>
        <w:pStyle w:val="ConsPlusNormal"/>
        <w:spacing w:lineRule="exact" w:line="200" w:before="0" w:after="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lang w:val="en-US"/>
        </w:rPr>
        <w:t>Региональный оператор: info@kuzro.ru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Потребитель</w:t>
      </w:r>
      <w:r>
        <w:rPr>
          <w:rFonts w:cs="Times New Roman" w:ascii="Times New Roman" w:hAnsi="Times New Roman"/>
          <w:lang w:val="en-US"/>
        </w:rPr>
        <w:t xml:space="preserve">: ________________________________________  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43. Настоящий договор составлен в 2 экземплярах, имеющих равную юридическую силу.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/>
      </w:pPr>
      <w:r>
        <w:rPr>
          <w:rFonts w:cs="Times New Roman" w:ascii="Times New Roman" w:hAnsi="Times New Roman"/>
        </w:rPr>
        <w:t xml:space="preserve">44. </w:t>
      </w:r>
      <w:hyperlink w:anchor="Par329" w:tgtFrame="ИНФОРМАЦИЯ ПО ПРЕДМЕТУ ДОГОВОРА">
        <w:r>
          <w:rPr>
            <w:rFonts w:cs="Times New Roman" w:ascii="Times New Roman" w:hAnsi="Times New Roman"/>
            <w:color w:val="0000FF"/>
          </w:rPr>
          <w:t>Приложение</w:t>
        </w:r>
      </w:hyperlink>
      <w:r>
        <w:rPr>
          <w:rFonts w:cs="Times New Roman" w:ascii="Times New Roman" w:hAnsi="Times New Roman"/>
        </w:rPr>
        <w:t xml:space="preserve"> к настоящему договору является его неотъемлемой частью.</w:t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en-US"/>
        </w:rPr>
        <w:t>III</w:t>
      </w:r>
      <w:r>
        <w:rPr>
          <w:rFonts w:cs="Times New Roman" w:ascii="Times New Roman" w:hAnsi="Times New Roman"/>
        </w:rPr>
        <w:t>. Адреса и реквизиты сторон</w:t>
      </w:r>
    </w:p>
    <w:p>
      <w:pPr>
        <w:pStyle w:val="ConsPlusNormal"/>
        <w:numPr>
          <w:ilvl w:val="0"/>
          <w:numId w:val="0"/>
        </w:numPr>
        <w:spacing w:lineRule="exact" w:line="200" w:before="0" w:after="200"/>
        <w:ind w:left="0" w:hanging="0"/>
        <w:contextualSpacing/>
        <w:jc w:val="center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ind w:firstLine="54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10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5098"/>
      </w:tblGrid>
      <w:tr>
        <w:trPr/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Региональный оператор: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«Экологические технологии» (ООО «ЭкоТек»)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Юридический адрес: 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654080, Кемеровская </w:t>
            </w:r>
            <w:bookmarkStart w:id="1" w:name="_GoBack"/>
            <w:r>
              <w:rPr>
                <w:rFonts w:cs="Times New Roman" w:ascii="Times New Roman" w:hAnsi="Times New Roman"/>
              </w:rPr>
              <w:t>область -</w:t>
            </w:r>
            <w:bookmarkEnd w:id="1"/>
            <w:r>
              <w:rPr>
                <w:rFonts w:cs="Times New Roman" w:ascii="Times New Roman" w:hAnsi="Times New Roman"/>
              </w:rPr>
              <w:t xml:space="preserve"> Кузбасс, г.Новокузнецк, ул.Запорожская, 21а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Фактический адрес: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654079, Кемеровская область - Кузбасс, г.Новокузнецк, пр-д Коммунаров, 2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Адреса отделений абонентской службы: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654005, Кемеровская область - Кузбасс, г.Новокузнецк, пр. Металлургов,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652992,  Кемеровская область - Кузбасс, г.Таштагол, ул.Поспелова, 5а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652811, Кемеровская область - Кузбасс, г.Осинники, пер.Зеленый, 16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652888, Кемеровская область - Кузбасс, г.Междуреченск, ул.Гончаренко, 4а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652700, Кемеровская область - Кузбасс, г.Киселевск, ул.Транспортная, 54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653050, Кемеровская область - Кузбасс, г.Прокопьевск, ул.Есенина, 48</w:t>
            </w:r>
          </w:p>
          <w:p>
            <w:pPr>
              <w:pStyle w:val="ConsPlusNormal"/>
              <w:spacing w:lineRule="auto" w:line="276" w:before="0" w:after="0"/>
              <w:ind w:hang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652845, Кемеровская область - Кузбасс, г.Мыски, ул.Ленина, 11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 4217127183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КПП 421701001 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 1104217005892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ФИЛИАЛ БАНКА ВТБ (ПАО) В Г.КРАСНОЯРСКЕ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р/сч 40702810513030000704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к/сч 30101810200000000777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 040407777</w:t>
            </w:r>
          </w:p>
          <w:p>
            <w:pPr>
              <w:pStyle w:val="Normal"/>
              <w:spacing w:lineRule="auto" w:line="276" w:before="0" w:after="0"/>
              <w:ind w:hanging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mail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@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kuzro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ru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Сайт: </w:t>
            </w:r>
            <w:r>
              <w:rPr>
                <w:rFonts w:cs="Times New Roman" w:ascii="Times New Roman" w:hAnsi="Times New Roman"/>
                <w:lang w:val="en-US"/>
              </w:rPr>
              <w:t>http</w:t>
            </w:r>
            <w:r>
              <w:rPr>
                <w:rFonts w:cs="Times New Roman" w:ascii="Times New Roman" w:hAnsi="Times New Roman"/>
              </w:rPr>
              <w:t>://</w:t>
            </w:r>
            <w:r>
              <w:rPr>
                <w:rFonts w:cs="Times New Roman" w:ascii="Times New Roman" w:hAnsi="Times New Roman"/>
                <w:lang w:val="en-US"/>
              </w:rPr>
              <w:t>kuzro</w:t>
            </w:r>
            <w:r>
              <w:rPr>
                <w:rFonts w:cs="Times New Roman" w:ascii="Times New Roman" w:hAnsi="Times New Roman"/>
              </w:rPr>
              <w:t>.</w:t>
            </w:r>
            <w:r>
              <w:rPr>
                <w:rFonts w:cs="Times New Roman" w:ascii="Times New Roman" w:hAnsi="Times New Roman"/>
                <w:lang w:val="en-US"/>
              </w:rPr>
              <w:t>ru</w:t>
            </w:r>
            <w:r>
              <w:rPr>
                <w:rFonts w:cs="Times New Roman" w:ascii="Times New Roman" w:hAnsi="Times New Roman"/>
              </w:rPr>
              <w:t>/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Тел.8-800-550-52-42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-82550</wp:posOffset>
                  </wp:positionV>
                  <wp:extent cx="2520315" cy="467995"/>
                  <wp:effectExtent l="0" t="0" r="0" b="0"/>
                  <wp:wrapNone/>
                  <wp:docPr id="1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-24130</wp:posOffset>
                  </wp:positionV>
                  <wp:extent cx="1418590" cy="1422400"/>
                  <wp:effectExtent l="0" t="0" r="0" b="0"/>
                  <wp:wrapNone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</w:rPr>
              <w:t>У</w:t>
            </w:r>
            <w:r>
              <w:rPr>
                <w:rFonts w:cs="Times New Roman" w:ascii="Times New Roman" w:hAnsi="Times New Roman"/>
              </w:rPr>
              <w:t>правляющий директор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____________________/ А.И.Функ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м.п.</w:t>
            </w:r>
          </w:p>
          <w:p>
            <w:pPr>
              <w:pStyle w:val="ConsPlusNormal"/>
              <w:spacing w:lineRule="auto" w:line="276" w:before="0" w:after="200"/>
              <w:ind w:hanging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0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auto" w:val="clear"/>
          </w:tcPr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Потребитель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Наименование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</w:rPr>
              <w:t>потребителя</w:t>
            </w:r>
            <w:r>
              <w:rPr>
                <w:rFonts w:cs="Times New Roman" w:ascii="Times New Roman" w:hAnsi="Times New Roman"/>
                <w:lang w:val="en-US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TimesNewRoman" w:hAnsi="TimesNewRoman"/>
                <w:sz w:val="20"/>
                <w:szCs w:val="20"/>
              </w:rPr>
            </w:pPr>
            <w:r>
              <w:rPr>
                <w:rFonts w:ascii="TimesNewRoman" w:hAnsi="TimesNewRoman"/>
                <w:sz w:val="20"/>
                <w:szCs w:val="20"/>
              </w:rPr>
              <w:t>{{ consumer.dadata_name }}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</w:rPr>
              <w:t>Адрес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Юридический адрес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consumer.legal_address }}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Фактический адрес :{{ consumer.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kern w:val="0"/>
                <w:sz w:val="20"/>
                <w:szCs w:val="20"/>
                <w:lang w:val="en-US" w:eastAsia="en-US" w:bidi="ar-SA"/>
              </w:rPr>
              <w:t>physical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_address }}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Почтовый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адрес :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ИНН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consumer.inn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consumer.inn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КПП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consumer.kpp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consumer.kpp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ОГРН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consumer. ogrn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{{ consumer.</w:t>
            </w:r>
            <w:bookmarkStart w:id="2" w:name="__DdeLink__2296_2947740088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ogrn</w:t>
            </w:r>
            <w:bookmarkEnd w:id="2"/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 xml:space="preserve">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Банк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consumer.bank %}{{ consumer.bank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consumer.rs %}{{ consumer.rs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сч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consumer.ks %}{{ consumer.ks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БИК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consumer.bik %}{{ consumer.bik }}{% else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/>
              </w:rPr>
              <w:t>________________________________________{% endif %}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red"/>
                <w:lang w:val="en-US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E-mail: ________________________________________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Сайт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________________________________________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</w:rPr>
              <w:t>Телефон</w:t>
            </w:r>
            <w:r>
              <w:rPr>
                <w:rFonts w:cs="Times New Roman" w:ascii="Times New Roman" w:hAnsi="Times New Roman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________________________________________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Должность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</w:rPr>
              <w:t>ФИО</w:t>
            </w:r>
          </w:p>
          <w:p>
            <w:pPr>
              <w:pStyle w:val="Normal"/>
              <w:spacing w:lineRule="exact" w:line="200" w:before="0" w:after="200"/>
              <w:ind w:hanging="0"/>
              <w:contextualSpacing/>
              <w:jc w:val="both"/>
              <w:rPr>
                <w:rFonts w:eastAsia="" w:eastAsiaTheme="minorEastAsia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consumer.director_status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{{consumer.director_status}}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/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if consumer.director_name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val="en-US"/>
              </w:rPr>
              <w:t>{% else %}________________{% endif %}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  <w:r>
              <w:rPr>
                <w:rFonts w:cs="Times New Roman" w:ascii="Times New Roman" w:hAnsi="Times New Roman"/>
              </w:rPr>
              <w:t>п</w:t>
            </w:r>
            <w:r>
              <w:rPr>
                <w:rFonts w:cs="Times New Roman" w:ascii="Times New Roman" w:hAnsi="Times New Roman"/>
                <w:lang w:val="en-US"/>
              </w:rPr>
              <w:t>.</w:t>
            </w:r>
          </w:p>
          <w:p>
            <w:pPr>
              <w:pStyle w:val="ConsPlusNormal"/>
              <w:spacing w:lineRule="exact" w:line="200" w:before="0" w:after="200"/>
              <w:ind w:hanging="0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51" w:right="567" w:header="0" w:top="567" w:footer="709" w:bottom="851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contextualSpacing/>
        <w:jc w:val="right"/>
        <w:rPr/>
      </w:pPr>
      <w:r>
        <w:rPr>
          <w:rFonts w:eastAsia="Times New Roman" w:cs="Times New Roman" w:ascii="Times New Roman" w:hAnsi="Times New Roman"/>
          <w:color w:val="000000"/>
          <w:lang w:eastAsia="ru-RU"/>
        </w:rPr>
        <w:t>Приложение</w:t>
        <w:br/>
        <w:t>к договору на оказание</w:t>
        <w:br/>
        <w:t>услуг по обращению с твердыми</w:t>
        <w:br/>
        <w:t>коммунальными отходами</w:t>
      </w:r>
    </w:p>
    <w:p>
      <w:pPr>
        <w:pStyle w:val="ConsPlusNormal"/>
        <w:spacing w:lineRule="exact" w:line="200"/>
        <w:jc w:val="right"/>
        <w:rPr/>
      </w:pPr>
      <w:r>
        <w:rPr>
          <w:rFonts w:eastAsia="" w:cs="Times New Roman" w:ascii="Times New Roman" w:hAnsi="Times New Roman" w:eastAsiaTheme="minorEastAsia"/>
          <w:lang w:val="en-US"/>
        </w:rPr>
        <w:t xml:space="preserve">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 xml:space="preserve">consumer.number_contract </w:t>
      </w:r>
      <w:r>
        <w:rPr>
          <w:rFonts w:eastAsia="" w:cs="Times New Roman" w:ascii="Times New Roman" w:hAnsi="Times New Roman" w:eastAsiaTheme="minorEastAsia"/>
          <w:lang w:val="en-US"/>
        </w:rPr>
        <w:t>}}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от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{% if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 xml:space="preserve">current_contract_date %}{{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0"/>
          <w:lang w:val="en-US"/>
        </w:rPr>
        <w:t>consumer.</w:t>
      </w:r>
      <w:r>
        <w:rPr>
          <w:rFonts w:eastAsia="" w:cs="Times New Roman" w:ascii="Times New Roman" w:hAnsi="Times New Roman" w:eastAsiaTheme="minorEastAsia"/>
          <w:color w:val="000000"/>
          <w:lang w:val="en-US"/>
        </w:rPr>
        <w:t>current_contract_date }}</w:t>
      </w:r>
      <w:bookmarkStart w:id="3" w:name="__DdeLink__6137_358691057"/>
      <w:r>
        <w:rPr>
          <w:rFonts w:eastAsia="" w:cs="Times New Roman" w:ascii="Times New Roman" w:hAnsi="Times New Roman" w:eastAsiaTheme="minorEastAsia"/>
          <w:color w:val="000000"/>
          <w:lang w:val="en-US"/>
        </w:rPr>
        <w:t>{% else %}__/___________/20__ г.{% endif %}</w:t>
      </w:r>
      <w:bookmarkEnd w:id="3"/>
    </w:p>
    <w:p>
      <w:pPr>
        <w:pStyle w:val="ConsPlusNormal"/>
        <w:spacing w:lineRule="exact" w:line="20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ind w:firstLine="54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ИНФОРМАЦИЯ ПО ПРЕДМЕТУ ДОГОВОРА</w:t>
      </w:r>
    </w:p>
    <w:p>
      <w:pPr>
        <w:pStyle w:val="ConsPlusNormal"/>
        <w:numPr>
          <w:ilvl w:val="0"/>
          <w:numId w:val="1"/>
        </w:numPr>
        <w:spacing w:lineRule="exact" w:line="200" w:before="0" w:after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и место накопления твердых коммунальных отходов</w:t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5015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1985"/>
        <w:gridCol w:w="1453"/>
        <w:gridCol w:w="1382"/>
        <w:gridCol w:w="1277"/>
        <w:gridCol w:w="1257"/>
        <w:gridCol w:w="1408"/>
        <w:gridCol w:w="1428"/>
        <w:gridCol w:w="1125"/>
        <w:gridCol w:w="1245"/>
        <w:gridCol w:w="1752"/>
      </w:tblGrid>
      <w:tr>
        <w:trPr>
          <w:trHeight w:val="126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Наименование объекта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Объем принимаемых ТКО, м3/мес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ТКО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Место накопления КГО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Способ учета объема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Категория отходообразователя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Норматив, м3/расчетная единица в год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Кол-во расчетных единиц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Тип контейнера, емкость в м3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Периодичность вывоза ТКО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200"/>
              <w:ind w:hanging="0"/>
              <w:contextualSpacing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{{consumer.dadata_name}}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bookmarkStart w:id="4" w:name="__DdeLink__8439_3826063215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4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darkMagenta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Норматив накопления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{{ consumer.norm_value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color w:val="000000"/>
                <w:sz w:val="18"/>
                <w:szCs w:val="18"/>
                <w:lang w:val="en-US"/>
              </w:rPr>
              <w:t>consumer.norm_valu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e.print_norm_type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{{ consumer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.norm_value.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</w:rPr>
              <w:t>print_norm_type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%}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{{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consumer.stat_value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}}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18"/>
                <w:szCs w:val="18"/>
                <w:lang w:val="en-US"/>
              </w:rPr>
              <w:t>{% else %}{% endif %}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highlight w:val="darkMagenta"/>
                <w:lang w:val="en-U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highlight w:val="darkMagenta"/>
                <w:lang w:val="en-US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0"/>
                <w:szCs w:val="20"/>
                <w:lang w:val="en-US" w:eastAsia="ru-RU"/>
              </w:rPr>
              <w:t>В соответствии с действующим законодательством</w:t>
            </w:r>
          </w:p>
        </w:tc>
      </w:tr>
      <w:tr>
        <w:trPr>
          <w:trHeight w:val="280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{{(data[0][‘norm’]|float /12)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|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  <w:lang w:val="en-US" w:eastAsia="ru-RU"/>
              </w:rPr>
              <w:t>r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ru-RU"/>
              </w:rPr>
              <w:t>ound(5)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439_38260632151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  <w:t>}}</w:t>
            </w:r>
            <w:bookmarkEnd w:id="5"/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ConsPlusNormal"/>
        <w:spacing w:lineRule="exact" w:line="200" w:before="0" w:after="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lineRule="exact" w:line="20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случае нерегулярного вывоза, подача заявки осуществляется Потребителем за три рабочих дня до планируемой даты оказания услуг, не позднее 15-00 одним из следующих способов: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телефону 8-800-550-5242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/>
      </w:pPr>
      <w:r>
        <w:rPr>
          <w:rFonts w:cs="Times New Roman" w:ascii="Times New Roman" w:hAnsi="Times New Roman"/>
        </w:rPr>
        <w:t xml:space="preserve">По электронной почте </w:t>
      </w:r>
      <w:hyperlink r:id="rId7">
        <w:r>
          <w:rPr>
            <w:rFonts w:cs="Times New Roman" w:ascii="Times New Roman" w:hAnsi="Times New Roman"/>
            <w:lang w:val="en-US"/>
          </w:rPr>
          <w:t>info</w:t>
        </w:r>
        <w:r>
          <w:rPr>
            <w:rFonts w:cs="Times New Roman" w:ascii="Times New Roman" w:hAnsi="Times New Roman"/>
          </w:rPr>
          <w:t>@</w:t>
        </w:r>
        <w:r>
          <w:rPr>
            <w:rFonts w:cs="Times New Roman" w:ascii="Times New Roman" w:hAnsi="Times New Roman"/>
            <w:lang w:val="en-US"/>
          </w:rPr>
          <w:t>kuzro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ru</w:t>
        </w:r>
      </w:hyperlink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Нарочно в отделение абонентской службы</w:t>
      </w:r>
    </w:p>
    <w:p>
      <w:pPr>
        <w:pStyle w:val="ConsPlusNormal"/>
        <w:numPr>
          <w:ilvl w:val="0"/>
          <w:numId w:val="2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Через личный кабинет Потребителя на официальном сайте регионального оператора.</w:t>
      </w:r>
    </w:p>
    <w:p>
      <w:pPr>
        <w:pStyle w:val="ConsPlusNormal"/>
        <w:spacing w:lineRule="exact" w:line="20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заявке указывается: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Номер договора с Потребителем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 накопления ТКО</w:t>
      </w:r>
    </w:p>
    <w:p>
      <w:p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Способ складирования ТКО (тип контейнера)</w:t>
      </w:r>
    </w:p>
    <w:p>
      <w:pPr>
        <w:sectPr>
          <w:footerReference w:type="default" r:id="rId8"/>
          <w:type w:val="nextPage"/>
          <w:pgSz w:orient="landscape" w:w="16838" w:h="11906"/>
          <w:pgMar w:left="851" w:right="567" w:header="0" w:top="851" w:footer="709" w:bottom="766" w:gutter="0"/>
          <w:pgNumType w:fmt="decimal"/>
          <w:formProt w:val="false"/>
          <w:textDirection w:val="lrTb"/>
          <w:docGrid w:type="default" w:linePitch="360" w:charSpace="4096"/>
        </w:sectPr>
        <w:pStyle w:val="ConsPlusNormal"/>
        <w:numPr>
          <w:ilvl w:val="0"/>
          <w:numId w:val="3"/>
        </w:numPr>
        <w:spacing w:lineRule="exact" w:line="20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Объем оказания услуг (количество контейнеров или иных емкостей).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" w:cs="Times New Roman" w:eastAsiaTheme="minorEastAsia"/>
          <w:sz w:val="20"/>
          <w:szCs w:val="20"/>
          <w:lang w:eastAsia="ru-RU"/>
        </w:rPr>
      </w:pPr>
      <w:r>
        <w:rPr>
          <w:rFonts w:eastAsia="" w:cs="Times New Roman" w:eastAsiaTheme="minorEastAsia" w:ascii="Times New Roman" w:hAnsi="Times New Roman"/>
          <w:sz w:val="20"/>
          <w:szCs w:val="20"/>
          <w:lang w:eastAsia="ru-RU"/>
        </w:rPr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II. Информация в графическом виде о размещении мест 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накопления твердых коммунальных отходов и подъездных</w:t>
      </w:r>
    </w:p>
    <w:p>
      <w:pPr>
        <w:pStyle w:val="ConsPlusNormal"/>
        <w:spacing w:lineRule="exact" w:line="200" w:before="0" w:after="20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путей к ним (за исключением жилых домов)</w:t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lineRule="exact" w:line="200"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ConsPlusNormal"/>
        <w:spacing w:before="0" w:after="200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Style w:val="a4"/>
        <w:tblW w:w="10478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1"/>
        <w:gridCol w:w="5236"/>
      </w:tblGrid>
      <w:tr>
        <w:trPr>
          <w:trHeight w:val="34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Региональный оператор: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Потребитель</w:t>
            </w:r>
            <w:r>
              <w:rPr>
                <w:rFonts w:eastAsia="Times New Roman" w:cs="Times New Roman" w:ascii="Times New Roman" w:hAnsi="Times New Roman"/>
                <w:color w:val="000000"/>
                <w:lang w:val="en-US"/>
              </w:rPr>
              <w:t>: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ООО «ЭкоТек»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val="en-US" w:eastAsia="ru-RU"/>
              </w:rPr>
              <w:t>{{ consumer.dadata_name }}</w:t>
            </w:r>
          </w:p>
        </w:tc>
      </w:tr>
      <w:tr>
        <w:trPr>
          <w:trHeight w:val="725" w:hRule="atLeast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________________________/ Функ Андрей Иванович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nformat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  <w:lang w:val="en-US"/>
              </w:rPr>
              <w:t>__________________/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{% if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consumer. 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lang w:val="en-US"/>
              </w:rPr>
              <w:t xml:space="preserve"> %}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lang w:val="en-US"/>
              </w:rPr>
              <w:t>{{ consumer.director_name }}{% else %}__________________{% endif %}</w:t>
            </w:r>
          </w:p>
        </w:tc>
      </w:tr>
      <w:tr>
        <w:trPr/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635</wp:posOffset>
                  </wp:positionV>
                  <wp:extent cx="1450975" cy="1455420"/>
                  <wp:effectExtent l="0" t="0" r="0" b="0"/>
                  <wp:wrapNone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</w:rPr>
              <w:t>.п.</w:t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nsPlusNormal"/>
              <w:spacing w:lineRule="exact" w:line="200" w:before="0" w:after="0"/>
              <w:ind w:hanging="0"/>
              <w:contextualSpacing/>
              <w:jc w:val="left"/>
              <w:rPr/>
            </w:pPr>
            <w:r>
              <w:rPr>
                <w:rFonts w:cs="Times New Roman" w:ascii="Times New Roman" w:hAnsi="Times New Roman"/>
              </w:rPr>
              <w:t>м.п.</w:t>
            </w:r>
          </w:p>
        </w:tc>
      </w:tr>
    </w:tbl>
    <w:p>
      <w:pPr>
        <w:pStyle w:val="ConsPlusNormal"/>
        <w:spacing w:lineRule="exact" w:line="200" w:before="0" w:after="200"/>
        <w:contextualSpacing/>
        <w:rPr/>
      </w:pPr>
      <w:r>
        <w:rPr/>
      </w:r>
    </w:p>
    <w:sectPr>
      <w:footerReference w:type="default" r:id="rId10"/>
      <w:type w:val="nextPage"/>
      <w:pgSz w:w="11906" w:h="16838"/>
      <w:pgMar w:left="851" w:right="567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0735802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1784049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3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2331713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260" w:hanging="72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481d"/>
    <w:pPr>
      <w:widowControl/>
      <w:suppressAutoHyphens w:val="true"/>
      <w:bidi w:val="0"/>
      <w:spacing w:lineRule="auto" w:line="276" w:before="0" w:after="200"/>
      <w:ind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5e481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481d"/>
    <w:rPr>
      <w:color w:val="808080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5e481d"/>
    <w:rPr/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5e481d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5e481d"/>
    <w:pPr>
      <w:widowControl w:val="false"/>
      <w:suppressAutoHyphens w:val="true"/>
      <w:bidi w:val="0"/>
      <w:spacing w:lineRule="auto" w:line="240" w:before="0" w:after="0"/>
      <w:ind w:hanging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rsid w:val="005e481d"/>
    <w:pPr>
      <w:widowControl w:val="false"/>
      <w:suppressAutoHyphens w:val="true"/>
      <w:bidi w:val="0"/>
      <w:spacing w:lineRule="auto" w:line="240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ar-S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Footer"/>
    <w:basedOn w:val="Normal"/>
    <w:link w:val="a7"/>
    <w:uiPriority w:val="99"/>
    <w:unhideWhenUsed/>
    <w:rsid w:val="005e48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5e48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481d"/>
    <w:pPr>
      <w:spacing w:before="0" w:after="0"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uzro.ru/" TargetMode="External"/><Relationship Id="rId3" Type="http://schemas.openxmlformats.org/officeDocument/2006/relationships/hyperlink" Target="https://login.consultant.ru/link/?req=doc;base=ROS;n=210004;fld=13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hyperlink" Target="mailto:info@kuzro.ru" TargetMode="Externa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Application>LibreOffice/6.4.4.2$Linux_X86_64 LibreOffice_project/40$Build-2</Application>
  <Pages>8</Pages>
  <Words>3465</Words>
  <Characters>24957</Characters>
  <CharactersWithSpaces>28394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2019-11-11T05:17:00Z</dcterms:created>
  <dc:creator>admin</dc:creator>
  <dc:description/>
  <dc:language>ru-RU</dc:language>
  <cp:lastModifiedBy/>
  <cp:lastPrinted>2020-01-27T10:06:04Z</cp:lastPrinted>
  <dcterms:modified xsi:type="dcterms:W3CDTF">2020-07-16T14:49:42Z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