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left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__________,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>, действующего на основании</w:t>
      </w:r>
      <w:r>
        <w:rPr>
          <w:rFonts w:cs="Times New Roman" w:ascii="Times New Roman" w:hAnsi="Times New Roman"/>
        </w:rPr>
        <w:t xml:space="preserve"> ________________________ с другой стороны, именуемые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9. Региональный оператор по обращению с ТКО отвечает за обращение с ТКО с момента погрузки таких отходов в мусоровоз в местах накопления ТКО. </w:t>
      </w:r>
    </w:p>
    <w:p>
      <w:pPr>
        <w:pStyle w:val="ConsPlusNormal"/>
        <w:spacing w:lineRule="exact" w:line="200" w:before="0" w:after="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Бремя содержания контейнерных площадок, специальных площадок для складирования крупногабаритных отходов и территории, прилегающей к месту погрузки твердых коммунальных отходов, расположенных на придомовой территории, входящей в состав общего имущества собственников помещений в многоквартирном доме, несут собственники помещений в многоквартирном доме.</w:t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Бремя содержания контейнерных площадок, специальных площадок для складирования крупногабаритных отходов и территории, прилегающей к месту погрузки твердых коммунальных отходов, не входящих в состав общего имущества собственников помещений в многоквартирных домах, несут собственники земельного участка, на котором расположены такие площадки и территория.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«Стандартом раскрытия информации в области обращения с твердыми коммунальными отходами», утвержденного постановлением Правительства РФ от 21 июня 2016 г. N 564;</w:t>
      </w:r>
    </w:p>
    <w:p>
      <w:pPr>
        <w:pStyle w:val="ConsPlusNormal"/>
        <w:widowControl w:val="false"/>
        <w:tabs>
          <w:tab w:val="clear" w:pos="708"/>
          <w:tab w:val="left" w:pos="536" w:leader="none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widowControl w:val="false"/>
        <w:tabs>
          <w:tab w:val="clear" w:pos="708"/>
          <w:tab w:val="left" w:pos="568" w:leader="none"/>
        </w:tabs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обеспечить в местах накопления ТКО наличие контейнеров в количестве, необходимом исходя из объема ТКО в соответствии с Приложением к настоящему договору, а также поддержание таких контейнеров в технически исправном состоянии;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подъездные пути к местам накопления ТКО, исключающие причинение ущерба имущества Регионального оператора, Потребителя и третьих лиц, а также исключающие возникновение угрозы жизни и здоровья персонала Регионального оператора и иным гражданам;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м) предоставить схему движения транспортного средства по территории Потребителя, в целях осуществления вывоза ТКО с места накопления, расположенного на территории Потребителя;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н) изъять из контейнера отходы, не относящиеся к ТКО, такие как, ртутные газоразрядные лампы, солевые, литиевые, серебряные, ртутные и щелочные батарейки, отходы строительные. В случае порчи такими отходами имущества Регионального оператора Потребитель обязан возместить ущерб Региональному оператору.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о) обеспечить транспортным средствам Регионального оператора беспрепятственный въезд и выезд на режимную территорию Потребителя, где находится место сбора и накопления ТКО, для осуществления вывоза ТКО.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п) в случае пропускного и внутриобъектового режима на территории Потребителя обеспечить персонал Регионального оператора документами, предоставляющими право пропуска и пребывания на территории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ХII, а также посредством использования сайта Регионального оператора (форма для обратной связи);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16. Стороны согласились производить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 расчетным способом исходя из ______________________________________________________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24 часа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задержки транспортного средства Регионального оператора на режимной территории Потребителя, последний обязан возместить Региональному оператору убытки, понесенные в связи с простоем транспортного средства.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отсутствия подъездных путей к месту накопления ТКО и наличии документов, подтверждающих, что Региональный оператор исполнил свою обязанность по осуществлению вывоза ТКО, начисление за услугу по обращению с ТКО производится в полном объеме.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0"/>
        <w:ind w:left="0"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календарных дней с момента ее отправки.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</w:t>
      </w:r>
      <w:r>
        <w:rPr>
          <w:rFonts w:eastAsia="" w:cs="Times New Roman" w:ascii="Times New Roman" w:hAnsi="Times New Roman" w:eastAsiaTheme="minorEastAsia"/>
        </w:rPr>
        <w:t xml:space="preserve">с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%}_________________ .{% endif %}</w:t>
      </w:r>
      <w:r>
        <w:rPr>
          <w:rFonts w:cs="Times New Roman" w:ascii="Times New Roman" w:hAnsi="Times New Roman"/>
        </w:rPr>
        <w:t>года, заключается сроком на период действия Соглашения.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3">
        <w:r>
          <w:rPr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lang w:val="en-US"/>
        </w:rPr>
        <w:t>Региональный оператор: 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-82550</wp:posOffset>
                  </wp:positionV>
                  <wp:extent cx="2520315" cy="467995"/>
                  <wp:effectExtent l="0" t="0" r="0" b="0"/>
                  <wp:wrapNone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-24130</wp:posOffset>
                  </wp:positionV>
                  <wp:extent cx="1418590" cy="1422400"/>
                  <wp:effectExtent l="0" t="0" r="0" b="0"/>
                  <wp:wrapNone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У</w:t>
            </w:r>
            <w:r>
              <w:rPr>
                <w:rFonts w:cs="Times New Roman" w:ascii="Times New Roman" w:hAnsi="Times New Roman"/>
              </w:rPr>
              <w:t>правляющий директор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Юридический адрес : {{ consumer.legal_address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Фактический адрес :{{ consumer.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physical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_address }}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Почтовый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адрес :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ogrn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1985"/>
        <w:gridCol w:w="1453"/>
        <w:gridCol w:w="1382"/>
        <w:gridCol w:w="1277"/>
        <w:gridCol w:w="1257"/>
        <w:gridCol w:w="1408"/>
        <w:gridCol w:w="1430"/>
        <w:gridCol w:w="1125"/>
        <w:gridCol w:w="1244"/>
        <w:gridCol w:w="1751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4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 накопления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439_3826063215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5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Fonts w:cs="Times New Roman" w:ascii="Times New Roman" w:hAnsi="Times New Roman"/>
            <w:lang w:val="en-US"/>
          </w:rPr>
          <w:t>info</w:t>
        </w:r>
        <w:r>
          <w:rPr>
            <w:rFonts w:cs="Times New Roman" w:ascii="Times New Roman" w:hAnsi="Times New Roman"/>
          </w:rPr>
          <w:t>@</w:t>
        </w:r>
        <w:r>
          <w:rPr>
            <w:rFonts w:cs="Times New Roman" w:ascii="Times New Roman" w:hAnsi="Times New Roman"/>
            <w:lang w:val="en-US"/>
          </w:rPr>
          <w:t>kuzro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1"/>
        <w:gridCol w:w="5236"/>
      </w:tblGrid>
      <w:tr>
        <w:trPr>
          <w:trHeight w:val="34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-129540</wp:posOffset>
                  </wp:positionH>
                  <wp:positionV relativeFrom="paragraph">
                    <wp:posOffset>72390</wp:posOffset>
                  </wp:positionV>
                  <wp:extent cx="2520315" cy="467995"/>
                  <wp:effectExtent l="0" t="0" r="0" b="0"/>
                  <wp:wrapNone/>
                  <wp:docPr id="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val="000000"/>
              </w:rPr>
              <w:t>Р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егиональный оператор: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</w:tc>
      </w:tr>
      <w:tr>
        <w:trPr>
          <w:trHeight w:val="72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___________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83185</wp:posOffset>
                  </wp:positionV>
                  <wp:extent cx="1450975" cy="1455420"/>
                  <wp:effectExtent l="0" t="0" r="0" b="0"/>
                  <wp:wrapNone/>
                  <wp:docPr id="4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_</w:t>
            </w:r>
            <w:r>
              <w:rPr>
                <w:rFonts w:cs="Times New Roman" w:ascii="Times New Roman" w:hAnsi="Times New Roman"/>
              </w:rPr>
              <w:t>____________/ Функ Андрей Иванович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11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803036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125608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19721116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suppressAutoHyphens w:val="true"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suppressAutoHyphens w:val="tru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suppressAutoHyphens w:val="tru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link w:val="a7"/>
    <w:uiPriority w:val="99"/>
    <w:unhideWhenUsed/>
    <w:rsid w:val="005e48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0004;fld=13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5177</TotalTime>
  <Application>LibreOffice/6.4.4.2$Linux_X86_64 LibreOffice_project/40$Build-2</Application>
  <Pages>8</Pages>
  <Words>3465</Words>
  <Characters>24959</Characters>
  <CharactersWithSpaces>28396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2020-08-04T11:54:41Z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