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%}__/___________/20__ г.{% endif %}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cs="Times New Roman" w:ascii="Times New Roman" w:hAnsi="Times New Roman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23.01.2019г,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consumer.director_status %}{{ consumer.director_status|gent_case_filter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</w:t>
      </w:r>
      <w:bookmarkStart w:id="0" w:name="__DdeLink__3307_358691057"/>
      <w:r>
        <w:rPr>
          <w:rFonts w:eastAsia="" w:cs="Times New Roman" w:ascii="Times New Roman" w:hAnsi="Times New Roman" w:eastAsiaTheme="minorEastAsia"/>
          <w:color w:val="000000"/>
        </w:rPr>
        <w:t>{% endif %}</w:t>
      </w:r>
      <w:bookmarkEnd w:id="0"/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consumer.director_name %}{{ consumer.director_name|gent_case_filter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_________________________________________</w:t>
      </w:r>
      <w:r>
        <w:rPr>
          <w:rFonts w:eastAsia="" w:cs="Times New Roman" w:ascii="Times New Roman" w:hAnsi="Times New Roman" w:eastAsiaTheme="minorEastAsia"/>
          <w:color w:val="000000"/>
        </w:rPr>
        <w:t>{% endif %}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</w:rPr>
        <w:t>действующего на основании Устава, с  другой  стороны,  именуемые 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eastAsia="" w:cs="Times New Roman" w:ascii="Times New Roman" w:hAnsi="Times New Roman" w:eastAsiaTheme="minorEastAsia"/>
          <w:color w:val="000000"/>
        </w:rPr>
        <w:t>{{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eastAsia="" w:cs="Times New Roman" w:ascii="Times New Roman" w:hAnsi="Times New Roman" w:eastAsiaTheme="minorEastAsia"/>
          <w:color w:val="000000"/>
        </w:rPr>
        <w:t>contract_accept_date|pretty_date_filter }}г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Style w:val="Style14"/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Региональный оператор по обращению с ТКО отвечает за обращение с ТКО с момента погрузки таких отходов в мусоровоз в местах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 Бремя  содержания  контейнерных  площадок, специальных площадок для складирования  КГО,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 Бремя  содержания  контейнерных площадок, специальных площадок для складирования  КГО,  не  входящих  в  состав  общего имущества   собственников   помещений   в   многоквартирных   домах, 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стандартами раскрытия информации в области обращения с ТКО в порядке, предусмотренном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б) обеспечивать учет объема и (или) массы ТКО в соответствии с </w:t>
      </w:r>
      <w:hyperlink r:id="rId3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в местах накопления ТКО наличие контейнеров в количестве, необходимом  исходя из объема ТКО в соответствии с Приложением к настоящему договору, а также поддержание таких контейнеров в технически исправном состоянии.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, а также посредством использования сайта Регионального оператора (форма для обратной связи или Личный кабинет Потребителя);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г) с помощью Личного кабинета Потребителя на сайте Регионального оператора знакомиться с выпиской из лицевого счета, распечатывать счет на оплату услуг по обращению с ТКО, а также оплачивать услуги по обращению с ТКО в режиме </w:t>
      </w:r>
      <w:r>
        <w:rPr>
          <w:rFonts w:cs="Times New Roman" w:ascii="Times New Roman" w:hAnsi="Times New Roman"/>
          <w:lang w:val="en-US"/>
        </w:rPr>
        <w:t>online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16. Стороны  согласились производить учет объема и (или) массы ТКО в соответствии с </w:t>
      </w:r>
      <w:hyperlink r:id="rId4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 (или)  массы  ТКО, утвержденными постановлением Правительства  Российской Федерации от 3 июня 2016 г. N 505 "Об утверждении Правил  коммерческого  учета  объема  и  (или)  массы  твердых коммунальных отходов расчетным путем способом, указанным в Приложении к настоящему договору. 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6 часов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Региональный оператор не позднее 20 часов 00 минут текущего дня уведомляет Потребителя о факте невозможности исполнения обязательств посредством использования Личного кабинета Потребителя на сайте Регионального оператора или по номеру контактного телефона лица, ответственного за взаимодействие с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рабочих дней с момента ее получения.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с 01 июля 2018 года, заключается сроком на период действия Соглашения.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5">
        <w:r>
          <w:rPr>
            <w:rStyle w:val="ListLabel2"/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Региональный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оператор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lang w:val="en-US"/>
        </w:rPr>
        <w:t>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1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1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Управляющий директор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consumer.legal_address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consumer.inn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consumer.kpp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ogrn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</w:t>
            </w:r>
            <w:bookmarkStart w:id="2" w:name="__DdeLink__2296_2947740088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ogrn</w:t>
            </w:r>
            <w:bookmarkEnd w:id="2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=""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consumer.director_status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{{consumer.director_status}}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/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consumer.director_name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eastAsia="" w:cs="Times New Roman" w:ascii="Times New Roman" w:hAnsi="Times New Roman" w:eastAsiaTheme="minorEastAsia"/>
          <w:lang w:val="en-US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eastAsia=""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</w:t>
      </w:r>
      <w:bookmarkStart w:id="3" w:name="__DdeLink__6137_358691057"/>
      <w:r>
        <w:rPr>
          <w:rFonts w:eastAsia="" w:cs="Times New Roman" w:ascii="Times New Roman" w:hAnsi="Times New Roman" w:eastAsiaTheme="minorEastAsia"/>
          <w:color w:val="000000"/>
          <w:lang w:val="en-US"/>
        </w:rPr>
        <w:t>{% else %}__/___________/20__ г.{% endif %}</w:t>
      </w:r>
      <w:bookmarkEnd w:id="3"/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1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1"/>
        <w:gridCol w:w="1986"/>
        <w:gridCol w:w="1416"/>
        <w:gridCol w:w="1418"/>
        <w:gridCol w:w="1277"/>
        <w:gridCol w:w="1134"/>
        <w:gridCol w:w="1416"/>
        <w:gridCol w:w="1418"/>
        <w:gridCol w:w="1134"/>
        <w:gridCol w:w="1416"/>
        <w:gridCol w:w="1702"/>
      </w:tblGrid>
      <w:tr>
        <w:trPr>
          <w:trHeight w:val="126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bookmarkStart w:id="4" w:name="__DdeLink__8439_3826063215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{{norm}}</w:t>
            </w:r>
            <w:bookmarkEnd w:id="4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норматив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{{ consumer.norm_value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e.print_norm_type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{{ consumer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.norm_value.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print_norm_type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{{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darkMagenta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  <w:lang w:val="en-US" w:eastAsia="ru-RU"/>
              </w:rPr>
              <w:t>В соответствии с действующим законодательством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{{norm}}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7">
        <w:r>
          <w:rPr>
            <w:rStyle w:val="Style14"/>
            <w:rFonts w:cs="Times New Roman" w:ascii="Times New Roman" w:hAnsi="Times New Roman"/>
            <w:lang w:val="en-US"/>
          </w:rPr>
          <w:t>info</w:t>
        </w:r>
        <w:r>
          <w:rPr>
            <w:rStyle w:val="Style14"/>
            <w:rFonts w:cs="Times New Roman" w:ascii="Times New Roman" w:hAnsi="Times New Roman"/>
          </w:rPr>
          <w:t>@</w:t>
        </w:r>
        <w:r>
          <w:rPr>
            <w:rStyle w:val="Style14"/>
            <w:rFonts w:cs="Times New Roman" w:ascii="Times New Roman" w:hAnsi="Times New Roman"/>
            <w:lang w:val="en-US"/>
          </w:rPr>
          <w:t>kuzro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8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41"/>
        <w:gridCol w:w="5236"/>
      </w:tblGrid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________________________/ Функ Андрей Иванович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  <w:p>
            <w:pPr>
              <w:pStyle w:val="ConsPlusNonformat"/>
              <w:spacing w:lineRule="exact" w:line="200" w:before="0" w:after="200"/>
              <w:ind w:hanging="0"/>
              <w:contextualSpacing/>
              <w:jc w:val="both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consumer. 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}}{% else %}__________________{% endif %}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9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8075139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64269157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42881163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  <w:color w:val="0000FF"/>
    </w:rPr>
  </w:style>
  <w:style w:type="character" w:styleId="ListLabel3">
    <w:name w:val="ListLabel 3"/>
    <w:qFormat/>
    <w:rPr>
      <w:rFonts w:ascii="Times New Roman" w:hAnsi="Times New Roman" w:cs="Times New Roman"/>
      <w:lang w:val="en-US"/>
    </w:rPr>
  </w:style>
  <w:style w:type="character" w:styleId="ListLabel4">
    <w:name w:val="ListLabel 4"/>
    <w:qFormat/>
    <w:rPr>
      <w:rFonts w:ascii="Times New Roman" w:hAnsi="Times New Roman" w:cs="Times New Roman"/>
    </w:rPr>
  </w:style>
  <w:style w:type="character" w:styleId="ListLabel5">
    <w:name w:val="ListLabel 5"/>
    <w:qFormat/>
    <w:rPr>
      <w:rFonts w:ascii="Times New Roman" w:hAnsi="Times New Roman" w:cs="Times New Roman"/>
      <w:color w:val="0000FF"/>
    </w:rPr>
  </w:style>
  <w:style w:type="character" w:styleId="ListLabel6">
    <w:name w:val="ListLabel 6"/>
    <w:qFormat/>
    <w:rPr>
      <w:rFonts w:ascii="Times New Roman" w:hAnsi="Times New Roman" w:cs="Times New Roman"/>
      <w:lang w:val="en-US"/>
    </w:rPr>
  </w:style>
  <w:style w:type="character" w:styleId="ListLabel7">
    <w:name w:val="ListLabel 7"/>
    <w:qFormat/>
    <w:rPr>
      <w:rFonts w:ascii="Times New Roman" w:hAnsi="Times New Roman" w:cs="Times New Roman"/>
    </w:rPr>
  </w:style>
  <w:style w:type="character" w:styleId="ListLabel8">
    <w:name w:val="ListLabel 8"/>
    <w:qFormat/>
    <w:rPr>
      <w:rFonts w:ascii="Times New Roman" w:hAnsi="Times New Roman" w:cs="Times New Roman"/>
      <w:color w:val="0000FF"/>
    </w:rPr>
  </w:style>
  <w:style w:type="character" w:styleId="ListLabel9">
    <w:name w:val="ListLabel 9"/>
    <w:qFormat/>
    <w:rPr>
      <w:rFonts w:ascii="Times New Roman" w:hAnsi="Times New Roman" w:cs="Times New Roman"/>
      <w:lang w:val="en-US"/>
    </w:rPr>
  </w:style>
  <w:style w:type="character" w:styleId="ListLabel10">
    <w:name w:val="ListLabel 10"/>
    <w:qFormat/>
    <w:rPr>
      <w:rFonts w:ascii="Times New Roman" w:hAnsi="Times New Roman" w:cs="Times New Roman"/>
    </w:rPr>
  </w:style>
  <w:style w:type="character" w:styleId="ListLabel11">
    <w:name w:val="ListLabel 11"/>
    <w:qFormat/>
    <w:rPr>
      <w:rFonts w:ascii="Times New Roman" w:hAnsi="Times New Roman" w:cs="Times New Roman"/>
      <w:color w:val="0000FF"/>
    </w:rPr>
  </w:style>
  <w:style w:type="character" w:styleId="ListLabel12">
    <w:name w:val="ListLabel 12"/>
    <w:qFormat/>
    <w:rPr>
      <w:rFonts w:ascii="Times New Roman" w:hAnsi="Times New Roman" w:cs="Times New Roman"/>
      <w:lang w:val="en-US"/>
    </w:rPr>
  </w:style>
  <w:style w:type="character" w:styleId="ListLabel13">
    <w:name w:val="ListLabel 13"/>
    <w:qFormat/>
    <w:rPr>
      <w:rFonts w:ascii="Times New Roman" w:hAnsi="Times New Roman" w:cs="Times New Roman"/>
    </w:rPr>
  </w:style>
  <w:style w:type="character" w:styleId="ListLabel14">
    <w:name w:val="ListLabel 14"/>
    <w:qFormat/>
    <w:rPr>
      <w:rFonts w:ascii="Times New Roman" w:hAnsi="Times New Roman" w:cs="Times New Roman"/>
      <w:color w:val="0000FF"/>
    </w:rPr>
  </w:style>
  <w:style w:type="character" w:styleId="ListLabel15">
    <w:name w:val="ListLabel 15"/>
    <w:qFormat/>
    <w:rPr>
      <w:rFonts w:ascii="Times New Roman" w:hAnsi="Times New Roman" w:cs="Times New Roman"/>
      <w:lang w:val="en-US"/>
    </w:rPr>
  </w:style>
  <w:style w:type="character" w:styleId="ListLabel16">
    <w:name w:val="ListLabel 16"/>
    <w:qFormat/>
    <w:rPr>
      <w:rFonts w:ascii="Times New Roman" w:hAnsi="Times New Roman" w:cs="Times New Roman"/>
    </w:rPr>
  </w:style>
  <w:style w:type="character" w:styleId="ListLabel17">
    <w:name w:val="ListLabel 17"/>
    <w:qFormat/>
    <w:rPr>
      <w:rFonts w:ascii="Times New Roman" w:hAnsi="Times New Roman" w:cs="Times New Roman"/>
      <w:color w:val="0000FF"/>
    </w:rPr>
  </w:style>
  <w:style w:type="character" w:styleId="ListLabel18">
    <w:name w:val="ListLabel 18"/>
    <w:qFormat/>
    <w:rPr>
      <w:rFonts w:ascii="Times New Roman" w:hAnsi="Times New Roman" w:cs="Times New Roman"/>
      <w:lang w:val="en-US"/>
    </w:rPr>
  </w:style>
  <w:style w:type="character" w:styleId="ListLabel19">
    <w:name w:val="ListLabel 19"/>
    <w:qFormat/>
    <w:rPr>
      <w:rFonts w:ascii="Times New Roman" w:hAnsi="Times New Roman" w:cs="Times New Roman"/>
    </w:rPr>
  </w:style>
  <w:style w:type="character" w:styleId="ListLabel20">
    <w:name w:val="ListLabel 20"/>
    <w:qFormat/>
    <w:rPr>
      <w:rFonts w:ascii="Times New Roman" w:hAnsi="Times New Roman" w:cs="Times New Roman"/>
      <w:color w:val="0000FF"/>
    </w:rPr>
  </w:style>
  <w:style w:type="character" w:styleId="ListLabel21">
    <w:name w:val="ListLabel 21"/>
    <w:qFormat/>
    <w:rPr>
      <w:rFonts w:ascii="Times New Roman" w:hAnsi="Times New Roman" w:cs="Times New Roman"/>
      <w:lang w:val="en-US"/>
    </w:rPr>
  </w:style>
  <w:style w:type="character" w:styleId="ListLabel22">
    <w:name w:val="ListLabel 22"/>
    <w:qFormat/>
    <w:rPr>
      <w:rFonts w:ascii="Times New Roman" w:hAnsi="Times New Roman" w:cs="Times New Roman"/>
    </w:rPr>
  </w:style>
  <w:style w:type="character" w:styleId="ListLabel23">
    <w:name w:val="ListLabel 23"/>
    <w:qFormat/>
    <w:rPr>
      <w:rFonts w:ascii="Times New Roman" w:hAnsi="Times New Roman" w:cs="Times New Roman"/>
      <w:color w:val="0000FF"/>
    </w:rPr>
  </w:style>
  <w:style w:type="character" w:styleId="ListLabel24">
    <w:name w:val="ListLabel 24"/>
    <w:qFormat/>
    <w:rPr>
      <w:rFonts w:ascii="Times New Roman" w:hAnsi="Times New Roman" w:cs="Times New Roman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2">
    <w:name w:val="Footer"/>
    <w:basedOn w:val="Normal"/>
    <w:link w:val="a7"/>
    <w:uiPriority w:val="99"/>
    <w:unhideWhenUsed/>
    <w:rsid w:val="005e481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3692;fld=134;dst=100008" TargetMode="External"/><Relationship Id="rId4" Type="http://schemas.openxmlformats.org/officeDocument/2006/relationships/hyperlink" Target="https://login.consultant.ru/link/?req=doc;base=ROS;n=213692;fld=134;dst=100008" TargetMode="External"/><Relationship Id="rId5" Type="http://schemas.openxmlformats.org/officeDocument/2006/relationships/hyperlink" Target="https://login.consultant.ru/link/?req=doc;base=ROS;n=210004;fld=134" TargetMode="External"/><Relationship Id="rId6" Type="http://schemas.openxmlformats.org/officeDocument/2006/relationships/footer" Target="footer1.xml"/><Relationship Id="rId7" Type="http://schemas.openxmlformats.org/officeDocument/2006/relationships/hyperlink" Target="mailto:info@kuzro.ru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Application>LibreOffice/6.0.7.3$Linux_X86_64 LibreOffice_project/00m0$Build-3</Application>
  <Pages>8</Pages>
  <Words>3329</Words>
  <Characters>23765</Characters>
  <CharactersWithSpaces>27121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cp:lastPrinted>2020-01-27T10:06:04Z</cp:lastPrinted>
  <dcterms:modified xsi:type="dcterms:W3CDTF">2020-02-21T11:26:19Z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