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Начальнику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Территориального отдела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Управления Федеральной службы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надзору в сфере защиты прав потребителей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благополучия человека по Кемеровской области в городе Киселевске,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городе Прокопьевске и Прокопьевском районе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(Управление Роспотребнадзора)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653045, г. Прокопьевск, ул. Подольская, 19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несоблюдении экологических и санитарно-эпидемиологических требований</w:t>
            </w:r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  <w:bookmarkStart w:id="0" w:name="_Hlk528302623"/>
            <w:bookmarkEnd w:id="0"/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Федеральному закону от 24 июня 1998 г. № 89-ФЗ «Об отходах производства и потребления» (далее – Закон №89-ФЗ) с момента перехода на новое регулирование в области обращения с твердыми коммунальными отходами на территории субъекта Российской Федерации транспортирование, обработка, утилизация, обезвреживание, захоронение твердых коммунальных отходов обеспечиваются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региональными операторами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соответствии с Правилами обращения с твердыми коммунальными отходами, в соответствии с региональной программой в области обращения с отходами, в том числе с твердыми коммунальными отходами, и территориальной схемой обращения с отходами.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 территории Киселевского городского округа региональным оператором является </w:t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ООО «Экологические технологии» (ООО «ЭкоТек»)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Соглашения об организации деятельности по обращению с твердыми коммунальными отходами на территории зоны «Юг» Кемеровской области от 27.10.2017г. (Уведомление Департамента жилищно-коммунального и дорожного комплекса Кемеровской области от 10.10.2017г. №1-09/ЖК-4372).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 </w:t>
            </w:r>
            <w:bookmarkStart w:id="1" w:name="_Hlk527543183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п.1.5. соглашения - </w:t>
            </w:r>
            <w:bookmarkStart w:id="2" w:name="_Hlk521575344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 начала выполнения региональным оператором обязанностей по оказанию услуг по обращению с ТКО -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«01» июля 2018г.</w:t>
            </w:r>
            <w:bookmarkEnd w:id="1"/>
            <w:bookmarkEnd w:id="2"/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положениям статьи 24.7 Закона № 89-ФЗ, собственники твердых коммунальных отходов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твердые коммунальные отходы и находятся места их накопления.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Кроме того, в Законе № 89-ФЗ в качестве субъектов, обязанных исполнять отдельные действия, предусмотренные данным Законом, упоминаются юридические лица и индивидуальные предприниматели (далее - Потребители), в результате хозяйственной и иной деятельности которых образуются отходы (п. 1 ст. 18 Закона № 89-ФЗ). Размещение Потребителями на своей территории отходов производства и потребления, образовавшихся в результате осуществления им производственной деятельности, подлежит отнесению к такой разновидности обращения с отходами производства и потребления как накопление отходов.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Под накоплением отходов в ст. 1 Закона № 89-ФЗ понимается временное складирование отходов в местах, обустроенных в соответствии с требованиями законодательства в области охраны окружающей среды и обеспечения санитарно-эпидемиологического благополучия населения, в целях их дальнейшего использования, обезвреживания, размещения, транспортирования.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Таким образом, юридические лица и индивидуальные предприниматели обязаны соблюдать предъявляемые требования при накоплении отходов, также необходимо учитывать, что заключение юридическими лицами и индивидуальными предпринимателями договора о вывозе отходов не исключает их обязанности по соблюдению установленных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экологических и санитарно-эпидемиологических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требований, предъявляемых к накоплению отходов до их вывоза.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Накопление отходов, вынос отходов в иные, не оборудованные, в соответствии с требованиями места, а также уклонение Потребителей от заключения договора на оказание услуг по обращению с ТКО, может иметь признаки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несоблюдении экологических и санитарно-эпидемиологических требований при обращении с отходами производства и потребления.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а сегодняшний день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юридические лица и индивидуальные предприниматели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 результате хозяйственной и иной деятельности которых образуются отходы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уклоняются от заключения договора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 оказание услуг по обращению с ТКО с Региональным оператором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 в частности это:</w:t>
            </w:r>
          </w:p>
          <w:tbl>
            <w:tblPr>
              <w:tblStyle w:val="a4"/>
              <w:tblW w:w="9771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98" w:type="dxa"/>
                <w:bottom w:w="55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251"/>
              <w:gridCol w:w="2409"/>
              <w:gridCol w:w="4111"/>
            </w:tblGrid>
            <w:tr>
              <w:trPr/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Наименование Потребителя </w:t>
                    <w:br/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Адрес объекта образования отходов </w:t>
                  </w:r>
                </w:p>
              </w:tc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>Наличие возможных нарушений</w:t>
                  </w:r>
                </w:p>
              </w:tc>
            </w:tr>
            <w:tr>
              <w:trPr/>
              <w:tc>
                <w:tcPr>
                  <w:tcW w:w="325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 w:eastAsia="" w:eastAsiaTheme="minorEastAsia"/>
                      <w:b w:val="false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{{consumer.excell_name}}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{{consumer.inn}}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 xml:space="preserve">{{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consumer.</w:t>
                  </w: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>norm_value.name }}</w:t>
                  </w:r>
                </w:p>
                <w:p>
                  <w:pPr>
                    <w:pStyle w:val="NoSpacing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eastAsia="ru-RU"/>
                    </w:rPr>
                    <w:t>consumer.legal_address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</w:rPr>
                  </w:pPr>
                  <w:r>
                    <w:rPr>
                      <w:rFonts w:eastAsia="" w:eastAsiaTheme="minorEastAsia"/>
                    </w:rPr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physical_address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" w:cs="Times New Roman"/>
                      <w:lang w:eastAsia="ru-RU"/>
                    </w:rPr>
                  </w:pPr>
                  <w:r>
                    <w:rPr>
                      <w:rFonts w:eastAsia="" w:cs="Times New Roman" w:ascii="Times New Roman" w:hAnsi="Times New Roman"/>
                      <w:lang w:eastAsia="ru-RU"/>
                    </w:rPr>
                  </w:r>
                </w:p>
              </w:tc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Уклонение от заключения договора с РО</w:t>
                  </w:r>
                </w:p>
              </w:tc>
            </w:tr>
            <w:tr>
              <w:trPr/>
              <w:tc>
                <w:tcPr>
                  <w:tcW w:w="3251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Наличие неорганизованных свалок ТКО</w:t>
                  </w:r>
                </w:p>
              </w:tc>
            </w:tr>
            <w:tr>
              <w:trPr/>
              <w:tc>
                <w:tcPr>
                  <w:tcW w:w="3251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Отсутствие контейнеров для сбора ТКО и обустроенных площадок</w:t>
                  </w:r>
                </w:p>
              </w:tc>
            </w:tr>
            <w:tr>
              <w:trPr>
                <w:trHeight w:val="734" w:hRule="atLeast"/>
              </w:trPr>
              <w:tc>
                <w:tcPr>
                  <w:tcW w:w="3251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/>
                      <w:sz w:val="20"/>
                      <w:szCs w:val="20"/>
                      <w:lang w:eastAsia="ru-RU"/>
                    </w:rPr>
                    <w:t xml:space="preserve">Признаки несоблюдения экологических и санитарно-эпидемиологических 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требований</w:t>
                  </w:r>
                </w:p>
              </w:tc>
            </w:tr>
          </w:tbl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целях соблюдения законодательства РФ в области обращения с отходами производства и потребления в целях предотвращения вредного воздействия отходов на здоровье человека и окружающую среду, а также в области обеспечения санитарно-эпидемиологического благополучия населения, 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провести проверку в отношения юридических лиц и индивидуальных предпринимателей на предмет – установления факта образования ТКО, данных о составе отходов, образующихся в процессе их производства, оказания услуг или процессе потребления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соблюдения требований к местам накопления ТКО и порядка удаления (ликвидации) отходов, а также соблюдения требований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Федерального закона от 24 июня 1998 г. № 89-ФЗ «Об отходах производства и потребления».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результатах рассмотрения настоящего заявления уведомить Регионального оператора.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firstLine="283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Приложение: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Копии уведомлений, писем, направленных потенциальным Потребителям.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'JetBrains Mono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666</Words>
  <Characters>4925</Characters>
  <CharactersWithSpaces>5539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2020-03-03T15:30:21Z</dcterms:modified>
  <cp:revision>8</cp:revision>
  <dc:subject/>
  <dc:title/>
</cp:coreProperties>
</file>