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1"/>
        <w:gridCol w:w="639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1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1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Начальнику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Территориального отдела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Управления Федеральной службы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надзору в сфере защиты прав потребителей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 благополучия человека по Кемеровской области в городе Междуреченске,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городе Междуреченске и Междуреченском районе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(Управление Роспотребнадзора)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652877, г. </w:t>
            </w:r>
            <w:bookmarkStart w:id="0" w:name="__DdeLink__1627_131828001"/>
            <w:r>
              <w:rPr>
                <w:rFonts w:cs="Times New Roman" w:ascii="Times New Roman" w:hAnsi="Times New Roman"/>
                <w:sz w:val="24"/>
                <w:szCs w:val="24"/>
              </w:rPr>
              <w:t>Междуреченск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, пр. Строителей, 38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несоблюдении экологических и санитарно-эпидемиологических требований</w:t>
            </w:r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  <w:bookmarkStart w:id="1" w:name="_Hlk528302623"/>
            <w:bookmarkEnd w:id="1"/>
          </w:p>
          <w:p>
            <w:pPr>
              <w:pStyle w:val="NoSpacing"/>
              <w:widowControl/>
              <w:bidi w:val="0"/>
              <w:spacing w:lineRule="auto" w:line="240"/>
              <w:ind w:left="0" w:right="57" w:hanging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Федеральному закону от 24 июня 1998 г. № 89-ФЗ «Об отходах производства и потребления» (далее – Закон №89-ФЗ) с момента перехода на новое регулирование в области обращения с твердыми коммунальными отходами на территории субъекта Российской Федерации транспортирование, обработка, утилизация, обезвреживание, захоронение твердых коммунальных отходов обеспечиваются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региональными операторами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соответствии с Правилами обращения с твердыми коммунальными отходами, в соответствии с региональной программой в области обращения с отходами, в том числе с твердыми коммунальными отходами, и территориальной схемой обращения с отходами.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 территории Междуреченского городского округа региональным оператором является </w:t>
              <w:br/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ООО «Экологические технологии» (ООО «ЭкоТек»)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Соглашения об организации деятельности по обращению с твердыми коммунальными отходами на территории зоны «Юг» Кемеровской области от 27.10.2017г. (Уведомление Департамента жилищно-коммунального и дорожного комплекса Кемеровской области от 10.10.2017г. №1-09/ЖК-4372).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 </w:t>
            </w:r>
            <w:bookmarkStart w:id="2" w:name="_Hlk527543183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Согласно п.1.5. соглашения - </w:t>
            </w:r>
            <w:bookmarkStart w:id="3" w:name="_Hlk521575344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дата начала выполнения региональным оператором обязанностей по оказанию услуг по обращению с ТКО -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«01» июля 2018г.</w:t>
            </w:r>
            <w:bookmarkEnd w:id="2"/>
            <w:bookmarkEnd w:id="3"/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57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положениям статьи 24.7 Закона № 89-ФЗ, собственники твердых коммунальных отходов обязаны заключить договор на оказание услуг по обращению с твердыми коммунальными отходами с региональным оператором, в зоне деятельности которого образуются твердые коммунальные отходы и находятся места их накопления.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Кроме того, в Законе № 89-ФЗ в качестве субъектов, обязанных исполнять отдельные действия, предусмотренные данным Законом, упоминаются юридические лица и индивидуальные предприниматели (далее - Потребители), в результате хозяйственной и иной деятельности которых образуются отходы (п. 1 ст. 18 Закона № 89-ФЗ). Размещение Потребителями на своей территории отходов производства и потребления, образовавшихся в результате осуществления им производственной деятельности, подлежит отнесению к такой разновидности обращения с отходами производства и потребления как накопление отходов.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Под накоплением отходов в ст. 1 Закона № 89-ФЗ понимается временное складирование отходов в местах, обустроенных в соответствии с требованиями законодательства в области охраны окружающей среды и обеспечения санитарно-эпидемиологического благополучия населения, в целях их дальнейшего использования, обезвреживания, размещения, транспортирования.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Таким образом, юридические лица и индивидуальные предприниматели обязаны соблюдать предъявляемые требования при накоплении отходов, также необходимо учитывать, что заключение юридическими лицами и индивидуальными предпринимателями договора о вывозе отходов не исключает их обязанности по соблюдению установленных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экологических и санитарно-эпидемиологических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требований, предъявляемых к накоплению отходов до их вывоза.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Накопление отходов, вынос отходов в иные, не оборудованные, в соответствии с требованиями места, а также уклонение Потребителей от заключения договора на оказание услуг по обращению с ТКО, может иметь признаки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несоблюдении экологических и санитарно-эпидемиологических требований при обращении с отходами производства и потребления.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а сегодняшний день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юридические лица и индивидуальные предприниматели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 в результате хозяйственной и иной деятельности которых образуются отходы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уклоняются от заключения договора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 оказание услуг по обращению с ТКО с Региональным оператором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,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 в частности это:</w:t>
            </w:r>
          </w:p>
          <w:tbl>
            <w:tblPr>
              <w:tblStyle w:val="a4"/>
              <w:tblW w:w="9771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103" w:type="dxa"/>
                <w:bottom w:w="55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252"/>
              <w:gridCol w:w="2409"/>
              <w:gridCol w:w="4110"/>
            </w:tblGrid>
            <w:tr>
              <w:trPr/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Наименование Потребителя </w:t>
                    <w:br/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 xml:space="preserve">Адрес объекта образования отходов </w:t>
                  </w:r>
                </w:p>
              </w:tc>
              <w:tc>
                <w:tcPr>
                  <w:tcW w:w="4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4"/>
                      <w:szCs w:val="24"/>
                      <w:lang w:eastAsia="ru-RU"/>
                    </w:rPr>
                    <w:t>Наличие возможных нарушений</w:t>
                  </w:r>
                </w:p>
              </w:tc>
            </w:tr>
            <w:tr>
              <w:trPr/>
              <w:tc>
                <w:tcPr>
                  <w:tcW w:w="3252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 w:eastAsia="" w:eastAsiaTheme="minorEastAsia"/>
                      <w:b w:val="false"/>
                      <w:b w:val="false"/>
                      <w:bCs w:val="false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{{consumer.excell_name}}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{{consumer.inn}}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 xml:space="preserve">{{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consumer.</w:t>
                  </w:r>
                  <w:r>
                    <w:rPr>
                      <w:rFonts w:eastAsia="" w:cs="Times New Roman" w:ascii="Times New Roman" w:hAnsi="Times New Roman" w:eastAsiaTheme="minorEastAsia"/>
                      <w:color w:val="000000"/>
                      <w:sz w:val="20"/>
                      <w:szCs w:val="20"/>
                      <w:lang w:eastAsia="ru-RU"/>
                    </w:rPr>
                    <w:t>norm_value.name }}</w:t>
                  </w:r>
                </w:p>
                <w:p>
                  <w:pPr>
                    <w:pStyle w:val="NoSpacing"/>
                    <w:widowControl/>
                    <w:numPr>
                      <w:ilvl w:val="0"/>
                      <w:numId w:val="2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</w:t>
                  </w:r>
                  <w:r>
                    <w:rPr>
                      <w:rFonts w:ascii="Times New Roman" w:hAnsi="Times New Roman"/>
                      <w:sz w:val="20"/>
                      <w:szCs w:val="20"/>
                      <w:lang w:eastAsia="ru-RU"/>
                    </w:rPr>
                    <w:t>consumer.legal_address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left"/>
                    <w:rPr>
                      <w:rFonts w:eastAsia="" w:eastAsiaTheme="minorEastAsia"/>
                    </w:rPr>
                  </w:pPr>
                  <w:r>
                    <w:rPr>
                      <w:rFonts w:eastAsia="" w:eastAsiaTheme="minorEastAsia"/>
                    </w:rPr>
                  </w:r>
                </w:p>
              </w:tc>
              <w:tc>
                <w:tcPr>
                  <w:tcW w:w="2409" w:type="dxa"/>
                  <w:vMerge w:val="restart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'JetBrains Mono;Droid Sans Mono;monospace;monospace;Droid Sans Fallback;, ;Droid Sans Mono;, ;monospace;, monospace, ;Droid Sans Fallback;;font-weight: normal;font-size: 14px;line-height: 19px;white-space: pre;" w:hAnsi="'JetBrains Mono;Droid Sans Mono;monospace;monospace;Droid Sans Fallback;, ;Droid Sans Mono;, ;monospace;, monospace, ;Droid Sans Fallback;;font-weight: normal;font-size: 14px;line-height: 19px;white-space: pre;"/>
                      <w:color w:val="000000"/>
                    </w:rPr>
                  </w:pP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{{consumer.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 xml:space="preserve">physical_address </w:t>
                  </w:r>
                  <w:r>
                    <w:rPr>
                      <w:rFonts w:eastAsia="" w:cs="Times New Roman" w:ascii="Times New Roman" w:hAnsi="Times New Roman" w:eastAsiaTheme="minorEastAsia"/>
                      <w:b w:val="false"/>
                      <w:bCs w:val="false"/>
                      <w:color w:val="000000"/>
                      <w:sz w:val="20"/>
                      <w:szCs w:val="20"/>
                      <w:lang w:eastAsia="ru-RU"/>
                    </w:rPr>
                    <w:t>}}</w:t>
                  </w:r>
                </w:p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center"/>
                    <w:rPr>
                      <w:rFonts w:ascii="Times New Roman" w:hAnsi="Times New Roman" w:eastAsia="" w:cs="Times New Roman"/>
                      <w:lang w:eastAsia="ru-RU"/>
                    </w:rPr>
                  </w:pPr>
                  <w:r>
                    <w:rPr>
                      <w:rFonts w:eastAsia="" w:cs="Times New Roman" w:ascii="Times New Roman" w:hAnsi="Times New Roman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left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Уклонение от заключения договора с РО</w:t>
                  </w:r>
                </w:p>
              </w:tc>
            </w:tr>
            <w:tr>
              <w:trPr/>
              <w:tc>
                <w:tcPr>
                  <w:tcW w:w="3252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Наличие неорганизованных свалок ТКО</w:t>
                  </w:r>
                </w:p>
              </w:tc>
            </w:tr>
            <w:tr>
              <w:trPr/>
              <w:tc>
                <w:tcPr>
                  <w:tcW w:w="3252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Отсутствие контейнеров для сбора ТКО и обустроенных площадок</w:t>
                  </w:r>
                </w:p>
              </w:tc>
            </w:tr>
            <w:tr>
              <w:trPr>
                <w:trHeight w:val="734" w:hRule="atLeast"/>
              </w:trPr>
              <w:tc>
                <w:tcPr>
                  <w:tcW w:w="3252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2409" w:type="dxa"/>
                  <w:vMerge w:val="continue"/>
                  <w:tcBorders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bidi w:val="0"/>
                    <w:spacing w:lineRule="auto" w:line="240" w:before="0" w:after="0"/>
                    <w:ind w:left="0" w:right="0" w:hanging="0"/>
                    <w:jc w:val="both"/>
                    <w:rPr>
                      <w:rFonts w:ascii="Times New Roman" w:hAnsi="Times New Roman" w:eastAsia="" w:cs="Times New Roman" w:eastAsiaTheme="minorEastAsia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" w:cs="Times New Roman" w:eastAsiaTheme="minorEastAsia" w:ascii="Times New Roman" w:hAnsi="Times New Roman"/>
                      <w:sz w:val="24"/>
                      <w:szCs w:val="24"/>
                      <w:lang w:eastAsia="ru-RU"/>
                    </w:rPr>
                  </w:r>
                </w:p>
              </w:tc>
              <w:tc>
                <w:tcPr>
                  <w:tcW w:w="41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Spacing"/>
                    <w:widowControl/>
                    <w:numPr>
                      <w:ilvl w:val="0"/>
                      <w:numId w:val="3"/>
                    </w:numPr>
                    <w:bidi w:val="0"/>
                    <w:spacing w:lineRule="auto" w:line="240" w:before="0" w:after="0"/>
                    <w:ind w:left="0" w:right="0" w:hanging="0"/>
                    <w:jc w:val="both"/>
                    <w:rPr/>
                  </w:pPr>
                  <w:r>
                    <w:rPr>
                      <w:rFonts w:eastAsia="" w:cs="Times New Roman" w:ascii="Times New Roman" w:hAnsi="Times New Roman"/>
                      <w:sz w:val="20"/>
                      <w:szCs w:val="20"/>
                      <w:lang w:eastAsia="ru-RU"/>
                    </w:rPr>
                    <w:t xml:space="preserve">Признаки несоблюдения экологических и санитарно-эпидемиологических </w:t>
                  </w:r>
                  <w:r>
                    <w:rPr>
                      <w:rFonts w:eastAsia="" w:cs="Times New Roman" w:ascii="Times New Roman" w:hAnsi="Times New Roman"/>
                      <w:color w:val="000000"/>
                      <w:sz w:val="20"/>
                      <w:szCs w:val="20"/>
                      <w:lang w:eastAsia="ru-RU"/>
                    </w:rPr>
                    <w:t>требований</w:t>
                  </w:r>
                </w:p>
              </w:tc>
            </w:tr>
          </w:tbl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целях соблюдения законодательства РФ в области обращения с отходами производства и потребления в целях предотвращения вредного воздействия отходов на здоровье человека и окружающую среду, а также в области обеспечения санитарно-эпидемиологического благополучия населения, </w:t>
            </w:r>
          </w:p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проверку в отношения юридических лиц и индивидуальных предпринимателей на предмет – установления факта образования ТКО, данных о составе отходов, образующихся в процессе их производства, оказания услуг или процессе потребления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, соблюдения требований к местам накопления ТКО и порядка удаления (ликвидации) отходов, а также соблюдения требований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Федерального закона от 24 июня 1998 г. № 89-ФЗ «Об отходах производства и потребления».</w:t>
            </w:r>
          </w:p>
          <w:p>
            <w:pPr>
              <w:pStyle w:val="NoSpacing"/>
              <w:widowControl/>
              <w:numPr>
                <w:ilvl w:val="0"/>
                <w:numId w:val="4"/>
              </w:numPr>
              <w:bidi w:val="0"/>
              <w:spacing w:lineRule="auto" w:line="24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 результатах рассмотрения настоящего заявления уведомить Регионального оператора.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firstLine="283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Приложение: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Копии уведомлений, писем, направленных потенциальным Потребителям.</w:t>
            </w:r>
          </w:p>
        </w:tc>
        <w:tc>
          <w:tcPr>
            <w:tcW w:w="639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'JetBrains Mono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666</Words>
  <Characters>4934</Characters>
  <CharactersWithSpaces>5548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2020-03-03T15:30:58Z</dcterms:modified>
  <cp:revision>11</cp:revision>
  <dc:subject/>
  <dc:title/>
</cp:coreProperties>
</file>