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1"/>
        <w:gridCol w:w="639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1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1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благополучия человека по Кемеровской области в городе Осинники,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городе </w:t>
            </w:r>
            <w:bookmarkStart w:id="0" w:name="__DdeLink__1805_131828001"/>
            <w:r>
              <w:rPr>
                <w:rFonts w:cs="Times New Roman" w:ascii="Times New Roman" w:hAnsi="Times New Roman"/>
                <w:sz w:val="24"/>
                <w:szCs w:val="24"/>
              </w:rPr>
              <w:t>Осинники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, и Калтане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652800, г. Осинники, ул. Кирова, 74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1" w:name="_Hlk528302623"/>
            <w:bookmarkEnd w:id="1"/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Осинникиовского городского округа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2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3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2"/>
            <w:bookmarkEnd w:id="3"/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103" w:type="dxa"/>
                <w:bottom w:w="55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52"/>
              <w:gridCol w:w="2409"/>
              <w:gridCol w:w="4110"/>
            </w:tblGrid>
            <w:tr>
              <w:trPr/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52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="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>norm_value.name 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</w:rPr>
                  </w:pPr>
                  <w:r>
                    <w:rPr>
                      <w:rFonts w:eastAsia=""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physical_address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="" w:cs="Times New Roman" w:ascii="Times New Roman" w:hAnsi="Times New Roman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52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52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52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283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39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JetBrains Mono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2</Pages>
  <Words>665</Words>
  <Characters>4904</Characters>
  <CharactersWithSpaces>5517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2020-03-03T15:32:30Z</dcterms:modified>
  <cp:revision>13</cp:revision>
  <dc:subject/>
  <dc:title/>
</cp:coreProperties>
</file>