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spacing w:lineRule="auto" w:lin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Начальнику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Управления Федеральной службы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 надзору в сфере  природопользования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Кемеровской области (Росприроднадзор)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650000, Кемеровская обл, г Кемерово, ул. Ноградская, 19 А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spacing w:lineRule="auto" w:line="240" w:before="0" w:after="17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{{consumer.inn}}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ОГРН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{{consumer.ogrn }},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лице руководителя -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{% if </w:t>
            </w:r>
            <w:bookmarkStart w:id="0" w:name="__DdeLink__6519_3055786632"/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bookmarkEnd w:id="0"/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%}{{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_________________________________{% endif %}, осуществляет свою деятельность на территории Киселевского городского округа. Основной вид деятельности указанного юридического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нарушение требований ФЗ-7 «Об Охране окружающей среды», 89-ФЗ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 w:before="57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Рассмотреть настоящее обращение и провести проверку (принять меры реагирования) в отношении юридических лица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факта образования ТКО в процессе производства, оказания услуг или в процессе потребления,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потребления».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Приложение: 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Выписка из ЕГРЮЛ на заявителя;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________________________________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_________________________________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5">
    <w:name w:val="ListLabel 14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LibreOffice/6.0.7.3$Linux_X86_64 LibreOffice_project/00m0$Build-3</Application>
  <Pages>2</Pages>
  <Words>551</Words>
  <Characters>4207</Characters>
  <CharactersWithSpaces>4732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2020-03-03T15:33:58Z</dcterms:modified>
  <cp:revision>18</cp:revision>
  <dc:subject/>
  <dc:title/>
</cp:coreProperties>
</file>