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b/>
          <w:bCs/>
          <w:color w:val="1F3A5F"/>
          <w:sz w:val="48"/>
          <w:szCs w:val="48"/>
        </w:rPr>
        <w:t xml:space="preserve">Hangar Complex Electrical Distribution Upgrade</w:t>
      </w:r>
    </w:p>
    <w:p>
      <w:pPr>
        <w:spacing w:after="360"/>
      </w:pPr>
      <w:r>
        <w:rPr>
          <w:color w:val="3E7CB1"/>
          <w:sz w:val="26"/>
          <w:szCs w:val="26"/>
        </w:rPr>
        <w:t xml:space="preserve">5-Point Justification  |  Quality tier: Exemplary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676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Value</w:t>
            </w:r>
          </w:p>
        </w:tc>
      </w:tr>
      <w:tr>
        <w:trPr>
          <w:tblHeader w:val="false"/>
        </w:trPr>
        <w:tc>
          <w:tcPr>
            <w:tcW w:type="dxa" w:w="26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Business group</w:t>
            </w:r>
          </w:p>
        </w:tc>
        <w:tc>
          <w:tcPr>
            <w:tcW w:type="dxa" w:w="67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Facilities / Corporate Real Estate</w:t>
            </w:r>
          </w:p>
        </w:tc>
      </w:tr>
      <w:tr>
        <w:trPr>
          <w:tblHeader w:val="false"/>
        </w:trPr>
        <w:tc>
          <w:tcPr>
            <w:tcW w:type="dxa" w:w="26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Location</w:t>
            </w:r>
          </w:p>
        </w:tc>
        <w:tc>
          <w:tcPr>
            <w:tcW w:type="dxa" w:w="67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Hub Station 1 - Maintenance Hangar Complex</w:t>
            </w:r>
          </w:p>
        </w:tc>
      </w:tr>
      <w:tr>
        <w:trPr>
          <w:tblHeader w:val="false"/>
        </w:trPr>
        <w:tc>
          <w:tcPr>
            <w:tcW w:type="dxa" w:w="26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Request</w:t>
            </w:r>
          </w:p>
        </w:tc>
        <w:tc>
          <w:tcPr>
            <w:tcW w:type="dxa" w:w="67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Capital - Phase II construction</w:t>
            </w:r>
          </w:p>
        </w:tc>
      </w:tr>
      <w:tr>
        <w:trPr>
          <w:tblHeader w:val="false"/>
        </w:trPr>
        <w:tc>
          <w:tcPr>
            <w:tcW w:type="dxa" w:w="26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Total request</w:t>
            </w:r>
          </w:p>
        </w:tc>
        <w:tc>
          <w:tcPr>
            <w:tcW w:type="dxa" w:w="67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$31.0M (Phase I &amp; II)</w:t>
            </w:r>
          </w:p>
        </w:tc>
      </w:tr>
      <w:tr>
        <w:trPr>
          <w:tblHeader w:val="false"/>
        </w:trPr>
        <w:tc>
          <w:tcPr>
            <w:tcW w:type="dxa" w:w="26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Training label</w:t>
            </w:r>
          </w:p>
        </w:tc>
        <w:tc>
          <w:tcPr>
            <w:tcW w:type="dxa" w:w="67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Gold standard: quantified, illustrated, fully appendixed</w:t>
            </w:r>
          </w:p>
        </w:tc>
      </w:tr>
    </w:tbl>
    <w:p>
      <w:r>
        <w:br w:type="page"/>
      </w:r>
    </w:p>
    <w:p>
      <w:pPr>
        <w:pStyle w:val="Heading1"/>
      </w:pPr>
      <w:r>
        <w:t xml:space="preserve">1. Current Situation</w:t>
      </w:r>
    </w:p>
    <w:p>
      <w:pPr>
        <w:spacing w:after="120" w:line="276"/>
      </w:pPr>
      <w:r>
        <w:t xml:space="preserve">The hangar complex electrical distribution infrastructure must be updated to reliably support current and future power demand. The upgrade protects aircraft maintenance operations, building infrastructure and, most importantly, the safety of team members. The age of each building’s main switchgear and distribution panels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Building</w:t>
            </w:r>
          </w:p>
        </w:tc>
        <w:tc>
          <w:tcPr>
            <w:tcW w:type="dxa" w:w="19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Year built</w:t>
            </w:r>
          </w:p>
        </w:tc>
        <w:tc>
          <w:tcPr>
            <w:tcW w:type="dxa" w:w="406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Age of main switchgear / panels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Hangar 1</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1973</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53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Hangar 1 Central Utility Plant*</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1973 / 2018</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53 years / 5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Old Stores</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1973</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53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New Stores</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1987</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39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Hangar 2</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1987</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39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Hangar 3</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1991</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35 years</w:t>
            </w:r>
          </w:p>
        </w:tc>
      </w:tr>
      <w:tr>
        <w:trPr>
          <w:tblHeader w:val="false"/>
        </w:trPr>
        <w:tc>
          <w:tcPr>
            <w:tcW w:type="dxa" w:w="34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Hangar 4</w:t>
            </w:r>
          </w:p>
        </w:tc>
        <w:tc>
          <w:tcPr>
            <w:tcW w:type="dxa" w:w="19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1992</w:t>
            </w:r>
          </w:p>
        </w:tc>
        <w:tc>
          <w:tcPr>
            <w:tcW w:type="dxa" w:w="40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34 years</w:t>
            </w:r>
          </w:p>
        </w:tc>
      </w:tr>
    </w:tbl>
    <w:p>
      <w:pPr>
        <w:spacing w:after="160" w:before="60"/>
      </w:pPr>
      <w:r>
        <w:rPr>
          <w:i/>
          <w:iCs/>
          <w:color w:val="6B7785"/>
          <w:sz w:val="18"/>
          <w:szCs w:val="18"/>
        </w:rPr>
        <w:t xml:space="preserve">*Central Utility Plant distribution panels were replaced in 2018 due to repeated failures.</w:t>
      </w:r>
    </w:p>
    <w:p>
      <w:pPr>
        <w:spacing w:after="60" w:before="120"/>
        <w:jc w:val="center"/>
      </w:pPr>
      <w:r>
        <w:drawing>
          <wp:inline distT="0" distB="0" distL="0" distR="0">
            <wp:extent cx="5124450" cy="2362200"/>
            <wp:effectExtent t="0" r="0" b="0" l="0"/>
            <wp:docPr id="1" name="Every building exceeds the typical 25-year switchgear life" descr="Every building exceeds the typical 25-year switchgear life" title="Every building exceeds the typical 25-year switchgear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362200"/>
                    </a:xfrm>
                    <a:prstGeom prst="rect">
                      <a:avLst/>
                    </a:prstGeom>
                  </pic:spPr>
                </pic:pic>
              </a:graphicData>
            </a:graphic>
          </wp:inline>
        </w:drawing>
      </w:r>
    </w:p>
    <w:p>
      <w:pPr>
        <w:spacing w:after="200"/>
        <w:jc w:val="center"/>
      </w:pPr>
      <w:r>
        <w:rPr>
          <w:i/>
          <w:iCs/>
          <w:color w:val="6B7785"/>
          <w:sz w:val="18"/>
          <w:szCs w:val="18"/>
        </w:rPr>
        <w:t xml:space="preserve">Every building exceeds the typical 25-year switchgear life</w:t>
      </w:r>
      <w:r>
        <w:rPr>
          <w:color w:val="6B7785"/>
          <w:sz w:val="16"/>
          <w:szCs w:val="16"/>
        </w:rPr>
        <w:t xml:space="preserve">  |  Chart recreated from anonymized data</w:t>
      </w:r>
    </w:p>
    <w:p>
      <w:pPr>
        <w:pStyle w:val="Heading2"/>
      </w:pPr>
      <w:r>
        <w:t xml:space="preserve">Aging and obsolete equipment</w:t>
      </w:r>
    </w:p>
    <w:p>
      <w:pPr>
        <w:pStyle w:val="ListParagraph"/>
        <w:numPr>
          <w:ilvl w:val="0"/>
          <w:numId w:val="2"/>
        </w:numPr>
        <w:spacing w:after="80" w:line="276"/>
      </w:pPr>
      <w:r>
        <w:t xml:space="preserve">A well-maintained main switchgear lasts about 25 years and a motor control center about 20 years. Most of the complex is well past both, and replacement parts are increasingly obsolete and hard to source.</w:t>
      </w:r>
    </w:p>
    <w:p>
      <w:pPr>
        <w:spacing w:after="60" w:before="120"/>
        <w:jc w:val="center"/>
      </w:pPr>
      <w:r>
        <w:drawing>
          <wp:inline distT="0" distB="0" distL="0" distR="0">
            <wp:extent cx="4752975" cy="3990975"/>
            <wp:effectExtent t="0" r="0" b="0" l="0"/>
            <wp:docPr id="1" name="Representative aging main switchgear line-up" descr="Representative aging main switchgear line-up" title="Representative aging main switchgear lin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990975"/>
                    </a:xfrm>
                    <a:prstGeom prst="rect">
                      <a:avLst/>
                    </a:prstGeom>
                  </pic:spPr>
                </pic:pic>
              </a:graphicData>
            </a:graphic>
          </wp:inline>
        </w:drawing>
      </w:r>
    </w:p>
    <w:p>
      <w:pPr>
        <w:spacing w:after="200"/>
        <w:jc w:val="center"/>
      </w:pPr>
      <w:r>
        <w:rPr>
          <w:i/>
          <w:iCs/>
          <w:color w:val="6B7785"/>
          <w:sz w:val="18"/>
          <w:szCs w:val="18"/>
        </w:rPr>
        <w:t xml:space="preserve">Representative aging main switchgear line-up</w:t>
      </w:r>
      <w:r>
        <w:rPr>
          <w:color w:val="6B7785"/>
          <w:sz w:val="16"/>
          <w:szCs w:val="16"/>
        </w:rPr>
        <w:t xml:space="preserve">  |  Synthetic photo - generated with Microsoft Copilot</w:t>
      </w:r>
    </w:p>
    <w:p>
      <w:pPr>
        <w:pStyle w:val="Heading2"/>
      </w:pPr>
      <w:r>
        <w:t xml:space="preserve">Power reliability risk</w:t>
      </w:r>
    </w:p>
    <w:p>
      <w:pPr>
        <w:pStyle w:val="ListParagraph"/>
        <w:numPr>
          <w:ilvl w:val="0"/>
          <w:numId w:val="2"/>
        </w:numPr>
        <w:spacing w:after="80" w:line="276"/>
      </w:pPr>
      <w:r>
        <w:rPr>
          <w:b/>
          <w:bCs/>
        </w:rPr>
        <w:t xml:space="preserve">Three electrical shorts in the last five years. </w:t>
      </w:r>
      <w:r>
        <w:t xml:space="preserve">No injuries occurred, but each panel had to be replaced and repairs were delayed by parts availability. In the most recent event, replacement components took about four months to arrive and the damaged panel position was abandoned.</w:t>
      </w:r>
    </w:p>
    <w:p>
      <w:pPr>
        <w:spacing w:after="60" w:before="120"/>
        <w:jc w:val="center"/>
      </w:pPr>
      <w:r>
        <w:drawing>
          <wp:inline distT="0" distB="0" distL="0" distR="0">
            <wp:extent cx="4210050" cy="3533775"/>
            <wp:effectExtent t="0" r="0" b="0" l="0"/>
            <wp:docPr id="1" name="Breaker assembly damaged in an electrical short (representative)" descr="Breaker assembly damaged in an electrical short (representative)" title="Breaker assembly damaged in an electrical short (represent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533775"/>
                    </a:xfrm>
                    <a:prstGeom prst="rect">
                      <a:avLst/>
                    </a:prstGeom>
                  </pic:spPr>
                </pic:pic>
              </a:graphicData>
            </a:graphic>
          </wp:inline>
        </w:drawing>
      </w:r>
    </w:p>
    <w:p>
      <w:pPr>
        <w:spacing w:after="200"/>
        <w:jc w:val="center"/>
      </w:pPr>
      <w:r>
        <w:rPr>
          <w:i/>
          <w:iCs/>
          <w:color w:val="6B7785"/>
          <w:sz w:val="18"/>
          <w:szCs w:val="18"/>
        </w:rPr>
        <w:t xml:space="preserve">Breaker assembly damaged in an electrical short (representative)</w:t>
      </w:r>
      <w:r>
        <w:rPr>
          <w:color w:val="6B7785"/>
          <w:sz w:val="16"/>
          <w:szCs w:val="16"/>
        </w:rPr>
        <w:t xml:space="preserve">  |  Synthetic photo - generated with Microsoft Copilot</w:t>
      </w:r>
    </w:p>
    <w:p>
      <w:pPr>
        <w:spacing w:after="60" w:before="120"/>
        <w:jc w:val="center"/>
      </w:pPr>
      <w:r>
        <w:drawing>
          <wp:inline distT="0" distB="0" distL="0" distR="0">
            <wp:extent cx="4210050" cy="3533775"/>
            <wp:effectExtent t="0" r="0" b="0" l="0"/>
            <wp:docPr id="1" name="Distribution panel after a short - damaged section abandoned and re-fed" descr="Distribution panel after a short - damaged section abandoned and re-fed" title="Distribution panel after a short - damaged section abandoned and re-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533775"/>
                    </a:xfrm>
                    <a:prstGeom prst="rect">
                      <a:avLst/>
                    </a:prstGeom>
                  </pic:spPr>
                </pic:pic>
              </a:graphicData>
            </a:graphic>
          </wp:inline>
        </w:drawing>
      </w:r>
    </w:p>
    <w:p>
      <w:pPr>
        <w:spacing w:after="200"/>
        <w:jc w:val="center"/>
      </w:pPr>
      <w:r>
        <w:rPr>
          <w:i/>
          <w:iCs/>
          <w:color w:val="6B7785"/>
          <w:sz w:val="18"/>
          <w:szCs w:val="18"/>
        </w:rPr>
        <w:t xml:space="preserve">Distribution panel after a short - damaged section abandoned and re-fed</w:t>
      </w:r>
      <w:r>
        <w:rPr>
          <w:color w:val="6B7785"/>
          <w:sz w:val="16"/>
          <w:szCs w:val="16"/>
        </w:rPr>
        <w:t xml:space="preserve">  |  Synthetic photo - generated with Microsoft Copilot</w:t>
      </w:r>
    </w:p>
    <w:p>
      <w:pPr>
        <w:pStyle w:val="Heading2"/>
      </w:pPr>
      <w:r>
        <w:t xml:space="preserve">Distribution does not match today’s fleet</w:t>
      </w:r>
    </w:p>
    <w:p>
      <w:pPr>
        <w:pStyle w:val="ListParagraph"/>
        <w:numPr>
          <w:ilvl w:val="0"/>
          <w:numId w:val="2"/>
        </w:numPr>
        <w:spacing w:after="80" w:line="276"/>
      </w:pPr>
      <w:r>
        <w:t xml:space="preserve">Six widebody bay positions across Hangars 2, 3 and 4 were designed for legacy widebody aircraft. The current next-generation widebody fleet requires three power connections; these bays provide two.</w:t>
      </w:r>
    </w:p>
    <w:p>
      <w:pPr>
        <w:pStyle w:val="ListParagraph"/>
        <w:numPr>
          <w:ilvl w:val="0"/>
          <w:numId w:val="2"/>
        </w:numPr>
        <w:spacing w:after="80" w:line="276"/>
      </w:pPr>
      <w:r>
        <w:t xml:space="preserve">Teams work around the gap with portable ground power units, which can only be positioned at four of the six affected bays.</w:t>
      </w:r>
    </w:p>
    <w:p>
      <w:pPr>
        <w:spacing w:after="60" w:before="120"/>
        <w:jc w:val="center"/>
      </w:pPr>
      <w:r>
        <w:drawing>
          <wp:inline distT="0" distB="0" distL="0" distR="0">
            <wp:extent cx="4572000" cy="3838575"/>
            <wp:effectExtent t="0" r="0" b="0" l="0"/>
            <wp:docPr id="1" name="Portable GPU workaround supplying the third power source" descr="Portable GPU workaround supplying the third power source" title="Portable GPU workaround supplying the third power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38575"/>
                    </a:xfrm>
                    <a:prstGeom prst="rect">
                      <a:avLst/>
                    </a:prstGeom>
                  </pic:spPr>
                </pic:pic>
              </a:graphicData>
            </a:graphic>
          </wp:inline>
        </w:drawing>
      </w:r>
    </w:p>
    <w:p>
      <w:pPr>
        <w:spacing w:after="200"/>
        <w:jc w:val="center"/>
      </w:pPr>
      <w:r>
        <w:rPr>
          <w:i/>
          <w:iCs/>
          <w:color w:val="6B7785"/>
          <w:sz w:val="18"/>
          <w:szCs w:val="18"/>
        </w:rPr>
        <w:t xml:space="preserve">Portable GPU workaround supplying the third power source</w:t>
      </w:r>
      <w:r>
        <w:rPr>
          <w:color w:val="6B7785"/>
          <w:sz w:val="16"/>
          <w:szCs w:val="16"/>
        </w:rPr>
        <w:t xml:space="preserve">  |  Synthetic photo - generated with Microsoft Copilot</w:t>
      </w:r>
    </w:p>
    <w:p>
      <w:pPr>
        <w:pStyle w:val="Heading2"/>
      </w:pPr>
      <w:r>
        <w:t xml:space="preserve">Single points of failure</w:t>
      </w:r>
    </w:p>
    <w:p>
      <w:pPr>
        <w:pStyle w:val="ListParagraph"/>
        <w:numPr>
          <w:ilvl w:val="0"/>
          <w:numId w:val="2"/>
        </w:numPr>
        <w:spacing w:after="80" w:line="276"/>
      </w:pPr>
      <w:r>
        <w:rPr>
          <w:b/>
          <w:bCs/>
        </w:rPr>
        <w:t xml:space="preserve">Manual transfer switches: </w:t>
      </w:r>
      <w:r>
        <w:t xml:space="preserve">Hangars 1 and 2 rely on manual transfer to backup power; Hangars 3 and 4 already use automatic transfer switches (ATS). The project standardizes ATS across the complex.</w:t>
      </w:r>
    </w:p>
    <w:p>
      <w:pPr>
        <w:pStyle w:val="ListParagraph"/>
        <w:numPr>
          <w:ilvl w:val="0"/>
          <w:numId w:val="2"/>
        </w:numPr>
        <w:spacing w:after="80" w:line="276"/>
      </w:pPr>
      <w:r>
        <w:rPr>
          <w:b/>
          <w:bCs/>
        </w:rPr>
        <w:t xml:space="preserve">Single utility feed: </w:t>
      </w:r>
      <w:r>
        <w:t xml:space="preserve">Hangars 2 and 4 rely on a single feed. The project adds dual-feed service so power transfers automatically if the primary feed is lost.</w:t>
      </w:r>
    </w:p>
    <w:p>
      <w:pPr>
        <w:pStyle w:val="Heading1"/>
      </w:pPr>
      <w:r>
        <w:t xml:space="preserve">2. Proposal</w:t>
      </w:r>
    </w:p>
    <w:p>
      <w:pPr>
        <w:spacing w:after="120" w:line="276"/>
      </w:pPr>
      <w:r>
        <w:t xml:space="preserve">Engage Contractor C to perform the work under the management of Engineering Firm R, which developed the equipment specification and scope of work and will provide design and construction-management services. The upgrade meets current power demand, secures all hangar electrical utilities, and establishes a single electrical standard across the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CB1" w:sz="24"/>
              <w:bottom w:val="none"/>
              <w:right w:val="none"/>
            </w:tcBorders>
            <w:shd w:fill="EEF3F8" w:val="clear"/>
            <w:tcMar>
              <w:top w:type="dxa" w:w="120"/>
              <w:left w:type="dxa" w:w="200"/>
              <w:bottom w:type="dxa" w:w="120"/>
              <w:right w:type="dxa" w:w="200"/>
            </w:tcMar>
          </w:tcPr>
          <w:p>
            <w:r>
              <w:rPr>
                <w:b/>
                <w:bCs/>
                <w:color w:val="1F3A5F"/>
              </w:rPr>
              <w:t xml:space="preserve">Foundation for future projects:  </w:t>
            </w:r>
            <w:r>
              <w:t xml:space="preserve">The new distribution backbone is a prerequisite for planned pre-conditioned air, ground power and air-start upgrades. Upgrading it first avoids temporary solutions and costly redesign later.</w:t>
            </w:r>
          </w:p>
        </w:tc>
      </w:tr>
    </w:tbl>
    <w:p>
      <w:pPr>
        <w:pStyle w:val="Heading1"/>
      </w:pPr>
      <w:r>
        <w:t xml:space="preserve">3.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Description</w:t>
            </w:r>
          </w:p>
        </w:tc>
        <w:tc>
          <w:tcPr>
            <w:tcW w:type="dxa" w:w="17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right"/>
            </w:pPr>
            <w:r>
              <w:rPr>
                <w:b/>
                <w:bCs/>
                <w:color w:val="FFFFFF"/>
                <w:sz w:val="19"/>
                <w:szCs w:val="19"/>
              </w:rPr>
              <w:t xml:space="preserve">Cost ($)</w:t>
            </w:r>
          </w:p>
        </w:tc>
        <w:tc>
          <w:tcPr>
            <w:tcW w:type="dxa" w:w="346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Comment</w:t>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Demolition</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840,294</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Asbestos allowance</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600,000</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Possible asbestos in walls, equipment, conduit insulation</w:t>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Tax @ 8.25% + 5% contingency</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144,805</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Subtotal OpEx (Phase II)</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1,585,099</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Electrical replacement - Hangars 1-4</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24,817,511</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Labor $5.1M (~72,300 hrs); materials $19.7M</w:t>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Soft cost</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1,119,492</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Insurance, bond, permits</w:t>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Additional A&amp;E (arc flash study)</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576,600</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Safety certification / fault analysis</w:t>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Tax @ 8.25% + 5% contingency</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2,421,227</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Subtotal CapEx (Phase II)</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28,934,830</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
            </w:r>
          </w:p>
        </w:tc>
      </w:tr>
      <w:tr>
        <w:trPr>
          <w:tblHeader w:val="false"/>
        </w:trPr>
        <w:tc>
          <w:tcPr>
            <w:tcW w:type="dxa" w:w="42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Previously approved A&amp;E (Phase I)</w:t>
            </w:r>
          </w:p>
        </w:tc>
        <w:tc>
          <w:tcPr>
            <w:tcW w:type="dxa" w:w="17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b w:val="false"/>
                <w:bCs w:val="false"/>
                <w:sz w:val="19"/>
                <w:szCs w:val="19"/>
              </w:rPr>
              <w:t xml:space="preserve">483,000</w:t>
            </w:r>
          </w:p>
        </w:tc>
        <w:tc>
          <w:tcPr>
            <w:tcW w:type="dxa" w:w="34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b w:val="false"/>
                <w:bCs w:val="false"/>
                <w:sz w:val="19"/>
                <w:szCs w:val="19"/>
              </w:rPr>
              <w:t xml:space="preserve">Approved as CapEx in prior year</w:t>
            </w:r>
          </w:p>
        </w:tc>
      </w:tr>
      <w:tr>
        <w:trPr>
          <w:tblHeader w:val="false"/>
        </w:trPr>
        <w:tc>
          <w:tcPr>
            <w:tcW w:type="dxa" w:w="4200"/>
            <w:tcBorders>
              <w:top w:val="single" w:color="C9D1DA" w:sz="4"/>
              <w:left w:val="single" w:color="C9D1DA" w:sz="4"/>
              <w:bottom w:val="single" w:color="C9D1DA" w:sz="4"/>
              <w:right w:val="single" w:color="C9D1DA" w:sz="4"/>
            </w:tcBorders>
            <w:shd w:fill="DCE6F0" w:val="clear"/>
            <w:tcMar>
              <w:top w:type="dxa" w:w="80"/>
              <w:left w:type="dxa" w:w="120"/>
              <w:bottom w:type="dxa" w:w="80"/>
              <w:right w:type="dxa" w:w="120"/>
            </w:tcMar>
            <w:vAlign w:val="center"/>
          </w:tcPr>
          <w:p>
            <w:pPr>
              <w:jc w:val="left"/>
            </w:pPr>
            <w:r>
              <w:rPr>
                <w:b/>
                <w:bCs/>
                <w:sz w:val="19"/>
                <w:szCs w:val="19"/>
              </w:rPr>
              <w:t xml:space="preserve">Grand total (Phase I &amp; II)</w:t>
            </w:r>
          </w:p>
        </w:tc>
        <w:tc>
          <w:tcPr>
            <w:tcW w:type="dxa" w:w="1700"/>
            <w:tcBorders>
              <w:top w:val="single" w:color="C9D1DA" w:sz="4"/>
              <w:left w:val="single" w:color="C9D1DA" w:sz="4"/>
              <w:bottom w:val="single" w:color="C9D1DA" w:sz="4"/>
              <w:right w:val="single" w:color="C9D1DA" w:sz="4"/>
            </w:tcBorders>
            <w:shd w:fill="DCE6F0" w:val="clear"/>
            <w:tcMar>
              <w:top w:type="dxa" w:w="80"/>
              <w:left w:type="dxa" w:w="120"/>
              <w:bottom w:type="dxa" w:w="80"/>
              <w:right w:type="dxa" w:w="120"/>
            </w:tcMar>
            <w:vAlign w:val="center"/>
          </w:tcPr>
          <w:p>
            <w:pPr>
              <w:jc w:val="right"/>
            </w:pPr>
            <w:r>
              <w:rPr>
                <w:b/>
                <w:bCs/>
                <w:sz w:val="19"/>
                <w:szCs w:val="19"/>
              </w:rPr>
              <w:t xml:space="preserve">31,002,929</w:t>
            </w:r>
          </w:p>
        </w:tc>
        <w:tc>
          <w:tcPr>
            <w:tcW w:type="dxa" w:w="3460"/>
            <w:tcBorders>
              <w:top w:val="single" w:color="C9D1DA" w:sz="4"/>
              <w:left w:val="single" w:color="C9D1DA" w:sz="4"/>
              <w:bottom w:val="single" w:color="C9D1DA" w:sz="4"/>
              <w:right w:val="single" w:color="C9D1DA" w:sz="4"/>
            </w:tcBorders>
            <w:shd w:fill="DCE6F0" w:val="clear"/>
            <w:tcMar>
              <w:top w:type="dxa" w:w="80"/>
              <w:left w:type="dxa" w:w="120"/>
              <w:bottom w:type="dxa" w:w="80"/>
              <w:right w:type="dxa" w:w="120"/>
            </w:tcMar>
            <w:vAlign w:val="center"/>
          </w:tcPr>
          <w:p>
            <w:pPr>
              <w:jc w:val="left"/>
            </w:pPr>
            <w:r>
              <w:rPr>
                <w:b/>
                <w:bCs/>
                <w:sz w:val="19"/>
                <w:szCs w:val="19"/>
              </w:rPr>
              <w:t xml:space="preserve"/>
            </w:r>
          </w:p>
        </w:tc>
      </w:tr>
    </w:tbl>
    <w:p>
      <w:pPr>
        <w:spacing w:after="60" w:before="120"/>
        <w:jc w:val="center"/>
      </w:pPr>
      <w:r>
        <w:drawing>
          <wp:inline distT="0" distB="0" distL="0" distR="0">
            <wp:extent cx="4933950" cy="2114550"/>
            <wp:effectExtent t="0" r="0" b="0" l="0"/>
            <wp:docPr id="1" name="Electrical replacement cost by building" descr="Electrical replacement cost by building" title="Electrical replacement cost by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2114550"/>
                    </a:xfrm>
                    <a:prstGeom prst="rect">
                      <a:avLst/>
                    </a:prstGeom>
                  </pic:spPr>
                </pic:pic>
              </a:graphicData>
            </a:graphic>
          </wp:inline>
        </w:drawing>
      </w:r>
    </w:p>
    <w:p>
      <w:pPr>
        <w:spacing w:after="200"/>
        <w:jc w:val="center"/>
      </w:pPr>
      <w:r>
        <w:rPr>
          <w:i/>
          <w:iCs/>
          <w:color w:val="6B7785"/>
          <w:sz w:val="18"/>
          <w:szCs w:val="18"/>
        </w:rPr>
        <w:t xml:space="preserve">Electrical replacement cost by building</w:t>
      </w:r>
      <w:r>
        <w:rPr>
          <w:color w:val="6B7785"/>
          <w:sz w:val="16"/>
          <w:szCs w:val="16"/>
        </w:rPr>
        <w:t xml:space="preserve">  |  Chart recreated from anonymized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CB1" w:sz="24"/>
              <w:bottom w:val="none"/>
              <w:right w:val="none"/>
            </w:tcBorders>
            <w:shd w:fill="EEF3F8" w:val="clear"/>
            <w:tcMar>
              <w:top w:type="dxa" w:w="120"/>
              <w:left w:type="dxa" w:w="200"/>
              <w:bottom w:type="dxa" w:w="120"/>
              <w:right w:type="dxa" w:w="200"/>
            </w:tcMar>
          </w:tcPr>
          <w:p>
            <w:r>
              <w:rPr>
                <w:b/>
                <w:bCs/>
                <w:color w:val="1F3A5F"/>
              </w:rPr>
              <w:t xml:space="preserve">Why the estimate grew from $10.5M to $30.5M:  </w:t>
            </w:r>
            <w:r>
              <w:t xml:space="preserve">(1) Electrical equipment prices rose sharply on data-center construction demand, and (2) design found upstream transformers and switchgear were also deteriorating, so they were added to scope.</w:t>
            </w:r>
          </w:p>
        </w:tc>
      </w:tr>
    </w:tbl>
    <w:p>
      <w:pPr>
        <w:pStyle w:val="Heading1"/>
      </w:pPr>
      <w:r>
        <w:t xml:space="preserve">4. Justification</w:t>
      </w:r>
    </w:p>
    <w:p>
      <w:pPr>
        <w:spacing w:after="120" w:line="276"/>
      </w:pPr>
      <w:r>
        <w:t xml:space="preserve">The upgrade maximizes the safety of anyone operating the electrical system and provides the infrastructure every building system depends on. </w:t>
      </w:r>
      <w:r>
        <w:rPr>
          <w:b/>
          <w:bCs/>
        </w:rPr>
        <w:t xml:space="preserve">The goal is to minimize the cost of operational interruption and the risk of injury caused by system age. </w:t>
      </w:r>
      <w:r>
        <w:t xml:space="preserve">Weather and ground conditions around the 50-year-old structures have accelerated decay - visible where conduit is pulling away from panels as the floor slab settles.</w:t>
      </w:r>
    </w:p>
    <w:p>
      <w:pPr>
        <w:spacing w:after="60" w:before="120"/>
        <w:jc w:val="center"/>
      </w:pPr>
      <w:r>
        <w:drawing>
          <wp:inline distT="0" distB="0" distL="0" distR="0">
            <wp:extent cx="4210050" cy="3533775"/>
            <wp:effectExtent t="0" r="0" b="0" l="0"/>
            <wp:docPr id="1" name="Slab settlement pulling conduit away from wall-mounted disconnects" descr="Slab settlement pulling conduit away from wall-mounted disconnects" title="Slab settlement pulling conduit away from wall-mounted disconn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3533775"/>
                    </a:xfrm>
                    <a:prstGeom prst="rect">
                      <a:avLst/>
                    </a:prstGeom>
                  </pic:spPr>
                </pic:pic>
              </a:graphicData>
            </a:graphic>
          </wp:inline>
        </w:drawing>
      </w:r>
    </w:p>
    <w:p>
      <w:pPr>
        <w:spacing w:after="200"/>
        <w:jc w:val="center"/>
      </w:pPr>
      <w:r>
        <w:rPr>
          <w:i/>
          <w:iCs/>
          <w:color w:val="6B7785"/>
          <w:sz w:val="18"/>
          <w:szCs w:val="18"/>
        </w:rPr>
        <w:t xml:space="preserve">Slab settlement pulling conduit away from wall-mounted disconnects</w:t>
      </w:r>
      <w:r>
        <w:rPr>
          <w:color w:val="6B7785"/>
          <w:sz w:val="16"/>
          <w:szCs w:val="16"/>
        </w:rPr>
        <w:t xml:space="preserve">  |  Synthetic photo - generated with Microsoft Copilot</w:t>
      </w:r>
    </w:p>
    <w:p>
      <w:pPr>
        <w:pStyle w:val="Heading1"/>
      </w:pPr>
      <w:r>
        <w:t xml:space="preserve">5. Alternatives</w:t>
      </w:r>
    </w:p>
    <w:p>
      <w:pPr>
        <w:pStyle w:val="ListParagraph"/>
        <w:numPr>
          <w:ilvl w:val="0"/>
          <w:numId w:val="2"/>
        </w:numPr>
        <w:spacing w:after="80" w:line="276"/>
      </w:pPr>
      <w:r>
        <w:rPr>
          <w:b/>
          <w:bCs/>
        </w:rPr>
        <w:t xml:space="preserve">Run to failure: </w:t>
      </w:r>
      <w:r>
        <w:t xml:space="preserve">replace panels as issues arise. If a panel failed tomorrow, parts would come from the secondary market, full replacement, or custom fabrication - each causing significant downtime.</w:t>
      </w:r>
    </w:p>
    <w:p>
      <w:pPr>
        <w:pStyle w:val="ListParagraph"/>
        <w:numPr>
          <w:ilvl w:val="0"/>
          <w:numId w:val="2"/>
        </w:numPr>
        <w:spacing w:after="80" w:line="276"/>
      </w:pPr>
      <w:r>
        <w:rPr>
          <w:b/>
          <w:bCs/>
        </w:rPr>
        <w:t xml:space="preserve">Phased delivery: </w:t>
      </w:r>
      <w:r>
        <w:t xml:space="preserve">each phase takes 12-18 months, and deferred work is expected to escalate at least 8% per year.</w:t>
      </w:r>
    </w:p>
    <w:p>
      <w:r>
        <w:br w:type="page"/>
      </w:r>
    </w:p>
    <w:p>
      <w:pPr>
        <w:pStyle w:val="Heading1"/>
      </w:pPr>
      <w:r>
        <w:t xml:space="preserve">Appendix A - Hangar Bay Context</w:t>
      </w:r>
    </w:p>
    <w:p>
      <w:pPr>
        <w:spacing w:after="60" w:before="120"/>
        <w:jc w:val="center"/>
      </w:pPr>
      <w:r>
        <w:drawing>
          <wp:inline distT="0" distB="0" distL="0" distR="0">
            <wp:extent cx="4210050" cy="3533775"/>
            <wp:effectExtent t="0" r="0" b="0" l="0"/>
            <wp:docPr id="1" name="Widebody aircraft in a maintenance bay that relies on supplemental ground power" descr="Widebody aircraft in a maintenance bay that relies on supplemental ground power" title="Widebody aircraft in a maintenance bay that relies on supplemental ground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3533775"/>
                    </a:xfrm>
                    <a:prstGeom prst="rect">
                      <a:avLst/>
                    </a:prstGeom>
                  </pic:spPr>
                </pic:pic>
              </a:graphicData>
            </a:graphic>
          </wp:inline>
        </w:drawing>
      </w:r>
    </w:p>
    <w:p>
      <w:pPr>
        <w:spacing w:after="200"/>
        <w:jc w:val="center"/>
      </w:pPr>
      <w:r>
        <w:rPr>
          <w:i/>
          <w:iCs/>
          <w:color w:val="6B7785"/>
          <w:sz w:val="18"/>
          <w:szCs w:val="18"/>
        </w:rPr>
        <w:t xml:space="preserve">Widebody aircraft in a maintenance bay that relies on supplemental ground power</w:t>
      </w:r>
      <w:r>
        <w:rPr>
          <w:color w:val="6B7785"/>
          <w:sz w:val="16"/>
          <w:szCs w:val="16"/>
        </w:rPr>
        <w:t xml:space="preserve">  |  Synthetic photo - generated with Microsoft Copilot</w:t>
      </w:r>
    </w:p>
    <w:p>
      <w:pPr>
        <w:pStyle w:val="Heading1"/>
      </w:pPr>
      <w:r>
        <w:t xml:space="preserve">Appendix B -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Date</w:t>
            </w:r>
          </w:p>
        </w:tc>
        <w:tc>
          <w:tcPr>
            <w:tcW w:type="dxa" w:w="736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Milestone</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1 Q4</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A&amp;E approval</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2 Q3</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A&amp;E completion</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2 Q4</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Initial construction estimate ($23.2M)</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3 Q2</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Updated construction bid ($25.5M)</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4 Q2</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Pricing elements found incomplete; re-quote required</w:t>
            </w:r>
          </w:p>
        </w:tc>
      </w:tr>
      <w:tr>
        <w:trPr>
          <w:tblHeader w:val="false"/>
        </w:trPr>
        <w:tc>
          <w:tcPr>
            <w:tcW w:type="dxa" w:w="2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Year 4 Q3</w:t>
            </w:r>
          </w:p>
        </w:tc>
        <w:tc>
          <w:tcPr>
            <w:tcW w:type="dxa" w:w="736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Updated bid ($29.3M); 5-point complete; finance approval begins</w:t>
            </w:r>
          </w:p>
        </w:tc>
      </w:tr>
    </w:tbl>
    <w:p>
      <w:pPr>
        <w:pStyle w:val="Heading1"/>
      </w:pPr>
      <w:r>
        <w:t xml:space="preserve">Appendix C - Bid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left"/>
            </w:pPr>
            <w:r>
              <w:rPr>
                <w:b/>
                <w:bCs/>
                <w:color w:val="FFFFFF"/>
                <w:sz w:val="19"/>
                <w:szCs w:val="19"/>
              </w:rPr>
              <w:t xml:space="preserve">Contractor</w:t>
            </w:r>
          </w:p>
        </w:tc>
        <w:tc>
          <w:tcPr>
            <w:tcW w:type="dxa" w:w="212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right"/>
            </w:pPr>
            <w:r>
              <w:rPr>
                <w:b/>
                <w:bCs/>
                <w:color w:val="FFFFFF"/>
                <w:sz w:val="19"/>
                <w:szCs w:val="19"/>
              </w:rPr>
              <w:t xml:space="preserve">Base + alternates</w:t>
            </w:r>
          </w:p>
        </w:tc>
        <w:tc>
          <w:tcPr>
            <w:tcW w:type="dxa" w:w="212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right"/>
            </w:pPr>
            <w:r>
              <w:rPr>
                <w:b/>
                <w:bCs/>
                <w:color w:val="FFFFFF"/>
                <w:sz w:val="19"/>
                <w:szCs w:val="19"/>
              </w:rPr>
              <w:t xml:space="preserve">5% contingency</w:t>
            </w:r>
          </w:p>
        </w:tc>
        <w:tc>
          <w:tcPr>
            <w:tcW w:type="dxa" w:w="2120"/>
            <w:tcBorders>
              <w:top w:val="single" w:color="C9D1DA" w:sz="4"/>
              <w:left w:val="single" w:color="C9D1DA" w:sz="4"/>
              <w:bottom w:val="single" w:color="C9D1DA" w:sz="4"/>
              <w:right w:val="single" w:color="C9D1DA" w:sz="4"/>
            </w:tcBorders>
            <w:shd w:fill="1F3A5F" w:val="clear"/>
            <w:tcMar>
              <w:top w:type="dxa" w:w="80"/>
              <w:left w:type="dxa" w:w="120"/>
              <w:bottom w:type="dxa" w:w="80"/>
              <w:right w:type="dxa" w:w="120"/>
            </w:tcMar>
            <w:vAlign w:val="center"/>
          </w:tcPr>
          <w:p>
            <w:pPr>
              <w:jc w:val="right"/>
            </w:pPr>
            <w:r>
              <w:rPr>
                <w:b/>
                <w:bCs/>
                <w:color w:val="FFFFFF"/>
                <w:sz w:val="19"/>
                <w:szCs w:val="19"/>
              </w:rPr>
              <w:t xml:space="preserve">Total</w:t>
            </w:r>
          </w:p>
        </w:tc>
      </w:tr>
      <w:tr>
        <w:trPr>
          <w:tblHeader w:val="false"/>
        </w:trPr>
        <w:tc>
          <w:tcPr>
            <w:tcW w:type="dxa" w:w="3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Contractor A*</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$14.72M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$0.74M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$15.46M</w:t>
            </w:r>
          </w:p>
        </w:tc>
      </w:tr>
      <w:tr>
        <w:trPr>
          <w:tblHeader w:val="false"/>
        </w:trPr>
        <w:tc>
          <w:tcPr>
            <w:tcW w:type="dxa" w:w="3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Contractor B</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$30.83M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$1.54M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$32.37M</w:t>
            </w:r>
          </w:p>
        </w:tc>
      </w:tr>
      <w:tr>
        <w:trPr>
          <w:tblHeader w:val="false"/>
        </w:trPr>
        <w:tc>
          <w:tcPr>
            <w:tcW w:type="dxa" w:w="300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left"/>
            </w:pPr>
            <w:r>
              <w:rPr>
                <w:sz w:val="19"/>
                <w:szCs w:val="19"/>
              </w:rPr>
              <w:t xml:space="preserve">Contractor C (selected)</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$27.89M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$1.39M</w:t>
            </w:r>
          </w:p>
        </w:tc>
        <w:tc>
          <w:tcPr>
            <w:tcW w:type="dxa" w:w="2120"/>
            <w:tcBorders>
              <w:top w:val="single" w:color="C9D1DA" w:sz="4"/>
              <w:left w:val="single" w:color="C9D1DA" w:sz="4"/>
              <w:bottom w:val="single" w:color="C9D1DA" w:sz="4"/>
              <w:right w:val="single" w:color="C9D1DA" w:sz="4"/>
            </w:tcBorders>
            <w:tcMar>
              <w:top w:type="dxa" w:w="80"/>
              <w:left w:type="dxa" w:w="120"/>
              <w:bottom w:type="dxa" w:w="80"/>
              <w:right w:type="dxa" w:w="120"/>
            </w:tcMar>
            <w:vAlign w:val="center"/>
          </w:tcPr>
          <w:p>
            <w:pPr>
              <w:jc w:val="right"/>
            </w:pPr>
            <w:r>
              <w:rPr>
                <w:sz w:val="19"/>
                <w:szCs w:val="19"/>
              </w:rPr>
              <w:t xml:space="preserve">$29.28M</w:t>
            </w:r>
          </w:p>
        </w:tc>
      </w:tr>
    </w:tbl>
    <w:p>
      <w:pPr>
        <w:spacing w:after="120" w:line="276"/>
      </w:pPr>
      <w:r>
        <w:rPr>
          <w:i/>
          <w:iCs/>
          <w:color w:val="6B7785"/>
          <w:sz w:val="18"/>
          <w:szCs w:val="18"/>
        </w:rPr>
        <w:t xml:space="preserve">*Rejected - did not bid the full scope. Totals exclude arc-flash study ($0.58M) and asbestos allowance ($0.6M).</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Fictionalized names, sites, and vendors. Photos are synthetic (AI-generated) and contain no branding.   Page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785"/>
        <w:sz w:val="16"/>
        <w:szCs w:val="16"/>
      </w:rPr>
      <w:t xml:space="preserve">ANONYMIZED TRAINING EXAMPLE  |  EXEMPLARY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3E7CB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745230594e983f1e4a661d048065f46ad65740.png"/><Relationship Id="rId10" Type="http://schemas.openxmlformats.org/officeDocument/2006/relationships/image" Target="media/3027f932aa689bf40017e7a6ba019baaa897679d.png"/><Relationship Id="rId11" Type="http://schemas.openxmlformats.org/officeDocument/2006/relationships/image" Target="media/5b363c8e3928f801f32b49fadd592550850349c5.png"/><Relationship Id="rId12" Type="http://schemas.openxmlformats.org/officeDocument/2006/relationships/image" Target="media/2a151c586856868e542c9c1ea5e127e217f1299d.png"/><Relationship Id="rId13" Type="http://schemas.openxmlformats.org/officeDocument/2006/relationships/image" Target="media/7317fbdc343d3a7be1c510c8ee34e0f61a3997d0.png"/><Relationship Id="rId14" Type="http://schemas.openxmlformats.org/officeDocument/2006/relationships/image" Target="media/099bbadc29ecad3f50ace8f38e71182de8907d73.png"/><Relationship Id="rId15" Type="http://schemas.openxmlformats.org/officeDocument/2006/relationships/image" Target="media/480eb042135f54ebf61f47ae6d8cf8e71d47d2ef.png"/><Relationship Id="rId16" Type="http://schemas.openxmlformats.org/officeDocument/2006/relationships/image" Target="media/901cab82adef247d1199d30474a40a7810b6e2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Williams, KeAndre</dc:creator>
  <lastModifiedBy>Williams, KeAndre</lastModifiedBy>
  <revision>1</revision>
  <dcterms:created xsi:type="dcterms:W3CDTF">2026-10-02T04:02:06.6298702Z</dcterms:created>
  <dcterms:modified xsi:type="dcterms:W3CDTF">2026-10-02T04:02:06.6298702Z</dcterms:modified>
</coreProperties>
</file>

<file path=docProps/custom.xml><?xml version="1.0" encoding="utf-8"?>
<Properties xmlns="http://schemas.openxmlformats.org/officeDocument/2006/custom-properties" xmlns:vt="http://schemas.openxmlformats.org/officeDocument/2006/docPropsVTypes"/>
</file>