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b/>
          <w:bCs/>
          <w:color w:val="1F3A5F"/>
          <w:sz w:val="48"/>
          <w:szCs w:val="48"/>
        </w:rPr>
        <w:t xml:space="preserve">Widebody Engine Transport Stands</w:t>
      </w:r>
    </w:p>
    <w:p>
      <w:pPr>
        <w:spacing w:after="360"/>
      </w:pPr>
      <w:r>
        <w:rPr>
          <w:color w:val="3E7CB1"/>
          <w:sz w:val="26"/>
          <w:szCs w:val="26"/>
        </w:rPr>
        <w:t xml:space="preserve">5-Point Justification  |  Quality tier: Refined (minor edits needed)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Business group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Technical Operations - Powerplant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Locations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Line Maintenance Base (Site A) and Overhaul Base (Site B)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Request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Purchase two engine transport stands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Total request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$800,536.80 (offset with OEM service credits)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Training label</w:t>
            </w:r>
          </w:p>
        </w:tc>
        <w:tc>
          <w:tcPr>
            <w:tcW w:type="dxa" w:w="67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Strong structure and NPV; a few gaps to tighten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Background / Current Situation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There are 18 transport stands for Engine Type X across Sites A and B: 7 hold spare engines, 8 are at the OEM supporting overhaul, and 3 are empty to support removals and production. Stand availability tightens whenever engines are in transit or awaiting production.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Engines are removed mainly at Site A, shipped to Site B for disassembly, then sent to the OEM for overhaul. Every shipment consumes a stand, so once an engine leaves Site A no stand remains for the next removal.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When an overhauled engine returns to Site B for assembly, limited stand availability delays production (Appendix B).</w:t>
      </w:r>
    </w:p>
    <w:p>
      <w:pPr>
        <w:spacing w:after="60" w:before="120"/>
        <w:jc w:val="center"/>
      </w:pPr>
      <w:r>
        <w:drawing>
          <wp:inline distT="0" distB="0" distL="0" distR="0">
            <wp:extent cx="4019550" cy="2362200"/>
            <wp:effectExtent t="0" r="0" b="0" l="0"/>
            <wp:docPr id="1" name="Widebody turbofan of the type supported by these stands" descr="Widebody turbofan of the type supported by these stands" title="Widebody turbofan of the type supported by these st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8"/>
          <w:szCs w:val="18"/>
        </w:rPr>
        <w:t xml:space="preserve">Widebody turbofan of the type supported by these stands</w:t>
      </w:r>
      <w:r>
        <w:rPr>
          <w:color w:val="6B7785"/>
          <w:sz w:val="16"/>
          <w:szCs w:val="16"/>
        </w:rPr>
        <w:t xml:space="preserve">  |  Synthetic photo - generated with Microsoft Copilot</w:t>
      </w:r>
    </w:p>
    <w:p>
      <w:pPr>
        <w:pStyle w:val="Heading1"/>
      </w:pPr>
      <w:r>
        <w:t xml:space="preserve">Proposal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Purchase two engine stands, one for Site A and one for Site B, offset with OEM service credits. Credits are contractually limited to LRU and overhaul expenses, but the OEM has agreed to a one-time exception for select items including stands, inspection tools and a fuel-nozzle repair reconciliation (Appendix A).</w:t>
      </w:r>
    </w:p>
    <w:p>
      <w:pPr>
        <w:pStyle w:val="Heading1"/>
      </w:pPr>
      <w:r>
        <w:t xml:space="preserve">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200"/>
        <w:gridCol w:w="2600"/>
      </w:tblGrid>
      <w:tr>
        <w:trPr>
          <w:tblHeader/>
        </w:trPr>
        <w:tc>
          <w:tcPr>
            <w:tcW w:type="dxa" w:w="55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 ($)</w:t>
            </w:r>
          </w:p>
        </w:tc>
      </w:tr>
      <w:tr>
        <w:trPr>
          <w:tblHeader w:val="false"/>
        </w:trPr>
        <w:tc>
          <w:tcPr>
            <w:tcW w:type="dxa" w:w="55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Pneumatic power-option engine transport stand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762,416.00</w:t>
            </w:r>
          </w:p>
        </w:tc>
      </w:tr>
      <w:tr>
        <w:trPr>
          <w:tblHeader w:val="false"/>
        </w:trPr>
        <w:tc>
          <w:tcPr>
            <w:tcW w:type="dxa" w:w="55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5% contingency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38,120.80</w:t>
            </w:r>
          </w:p>
        </w:tc>
      </w:tr>
      <w:tr>
        <w:trPr>
          <w:tblHeader w:val="false"/>
        </w:trPr>
        <w:tc>
          <w:tcPr>
            <w:tcW w:type="dxa" w:w="55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CE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CE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DCE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800,536.80</w:t>
            </w:r>
          </w:p>
        </w:tc>
      </w:tr>
    </w:tbl>
    <w:p>
      <w:pPr>
        <w:spacing w:before="120"/>
      </w:pPr>
      <w:r>
        <w:rPr>
          <w:i/>
          <w:iCs/>
        </w:rPr>
        <w:t xml:space="preserve">Because the purchase is funded from OEM service credits, stands must be procured from the OEM’s approved stand supplier.</w:t>
      </w:r>
    </w:p>
    <w:p>
      <w:pPr>
        <w:pStyle w:val="Heading1"/>
      </w:pPr>
      <w:r>
        <w:t xml:space="preserve">Alternatives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Option 1: Lease two stands at $1,250/day until 2028  |  </w:t>
      </w:r>
      <w:r>
        <w:rPr>
          <w:b/>
          <w:bCs/>
        </w:rPr>
        <w:t xml:space="preserve">NPV @ 6.1%: $2.88M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Option 2: Purchase with service credits  |  </w:t>
      </w:r>
      <w:r>
        <w:rPr>
          <w:b/>
          <w:bCs/>
        </w:rPr>
        <w:t xml:space="preserve">NPV @ 6.1%: $2.59M (recommended)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Option 3: Purchase with cash, preserving credits  |  </w:t>
      </w:r>
      <w:r>
        <w:rPr>
          <w:b/>
          <w:bCs/>
        </w:rPr>
        <w:t xml:space="preserve">NPV @ 6.1%: $2.93M</w:t>
      </w:r>
    </w:p>
    <w:p>
      <w:pPr>
        <w:spacing w:after="60" w:before="120"/>
        <w:jc w:val="center"/>
      </w:pPr>
      <w:r>
        <w:drawing>
          <wp:inline distT="0" distB="0" distL="0" distR="0">
            <wp:extent cx="4752975" cy="2181225"/>
            <wp:effectExtent t="0" r="0" b="0" l="0"/>
            <wp:docPr id="1" name="Option 2 has the lowest cost on an NPV basis" descr="Option 2 has the lowest cost on an NPV basis" title="Option 2 has the lowest cost on an NPV ba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8"/>
          <w:szCs w:val="18"/>
        </w:rPr>
        <w:t xml:space="preserve">Option 2 has the lowest cost on an NPV basis</w:t>
      </w:r>
      <w:r>
        <w:rPr>
          <w:color w:val="6B7785"/>
          <w:sz w:val="16"/>
          <w:szCs w:val="16"/>
        </w:rPr>
        <w:t xml:space="preserve">  |  Chart recreated from anonymized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E7CB1" w:sz="24"/>
              <w:bottom w:val="none"/>
              <w:right w:val="none"/>
            </w:tcBorders>
            <w:shd w:fill="EEF3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F3A5F"/>
              </w:rPr>
              <w:t xml:space="preserve">Reviewer note (training):  </w:t>
            </w:r>
            <w:r>
              <w:t xml:space="preserve">A Justification section summarizing delay cost avoided and risk reduction would make this approval-ready.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 - OEM Side Letter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60"/>
        <w:gridCol w:w="3100"/>
      </w:tblGrid>
      <w:tr>
        <w:trPr>
          <w:tblHeader/>
        </w:trPr>
        <w:tc>
          <w:tcPr>
            <w:tcW w:type="dxa" w:w="62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 approved for service-credit use</w:t>
            </w:r>
          </w:p>
        </w:tc>
        <w:tc>
          <w:tcPr>
            <w:tcW w:type="dxa" w:w="3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Amount ($)</w:t>
            </w:r>
          </w:p>
        </w:tc>
      </w:tr>
      <w:tr>
        <w:trPr>
          <w:tblHeader w:val="false"/>
        </w:trPr>
        <w:tc>
          <w:tcPr>
            <w:tcW w:type="dxa" w:w="62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Two pneumatic power-option engine stands</w:t>
            </w:r>
          </w:p>
        </w:tc>
        <w:tc>
          <w:tcPr>
            <w:tcW w:type="dxa" w:w="3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762,416.00</w:t>
            </w:r>
          </w:p>
        </w:tc>
      </w:tr>
      <w:tr>
        <w:trPr>
          <w:tblHeader w:val="false"/>
        </w:trPr>
        <w:tc>
          <w:tcPr>
            <w:tcW w:type="dxa" w:w="62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Fuel-nozzle repair reconciliation invoice</w:t>
            </w:r>
          </w:p>
        </w:tc>
        <w:tc>
          <w:tcPr>
            <w:tcW w:type="dxa" w:w="3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849,361.08</w:t>
            </w:r>
          </w:p>
        </w:tc>
      </w:tr>
      <w:tr>
        <w:trPr>
          <w:tblHeader w:val="false"/>
        </w:trPr>
        <w:tc>
          <w:tcPr>
            <w:tcW w:type="dxa" w:w="62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Seven rigidizable borescope guide-tube tools</w:t>
            </w:r>
          </w:p>
        </w:tc>
        <w:tc>
          <w:tcPr>
            <w:tcW w:type="dxa" w:w="3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70,000.00</w:t>
            </w:r>
          </w:p>
        </w:tc>
      </w:tr>
      <w:tr>
        <w:trPr>
          <w:tblHeader w:val="false"/>
        </w:trPr>
        <w:tc>
          <w:tcPr>
            <w:tcW w:type="dxa" w:w="626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OEM overseas repair invoices aged &gt; 90 days</w:t>
            </w:r>
          </w:p>
        </w:tc>
        <w:tc>
          <w:tcPr>
            <w:tcW w:type="dxa" w:w="310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62,406.00</w:t>
            </w:r>
          </w:p>
        </w:tc>
      </w:tr>
    </w:tbl>
    <w:p>
      <w:pPr>
        <w:pStyle w:val="Heading1"/>
      </w:pPr>
      <w:r>
        <w:t xml:space="preserve">Appendix B - Production Delays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495550"/>
            <wp:effectExtent t="0" r="0" b="0" l="0"/>
            <wp:docPr id="1" name="Delays spike when three or more engines compete for assembly" descr="Delays spike when three or more engines compete for assembly" title="Delays spike when three or more engines compete for assemb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8"/>
          <w:szCs w:val="18"/>
        </w:rPr>
        <w:t xml:space="preserve">Delays spike when three or more engines compete for assembly</w:t>
      </w:r>
      <w:r>
        <w:rPr>
          <w:color w:val="6B7785"/>
          <w:sz w:val="16"/>
          <w:szCs w:val="16"/>
        </w:rPr>
        <w:t xml:space="preserve">  |  Chart recreated from anonymized data</w:t>
      </w:r>
    </w:p>
    <w:p>
      <w:pPr>
        <w:pStyle w:val="Heading1"/>
      </w:pPr>
      <w:r>
        <w:t xml:space="preserve">Appendix C - Overhaul Volume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2362200"/>
            <wp:effectExtent t="0" r="0" b="0" l="0"/>
            <wp:docPr id="1" name="Overhaul demand stays elevated through 2027" descr="Overhaul demand stays elevated through 2027" title="Overhaul demand stays elevated through 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8"/>
          <w:szCs w:val="18"/>
        </w:rPr>
        <w:t xml:space="preserve">Overhaul demand stays elevated through 2027</w:t>
      </w:r>
      <w:r>
        <w:rPr>
          <w:color w:val="6B7785"/>
          <w:sz w:val="16"/>
          <w:szCs w:val="16"/>
        </w:rPr>
        <w:t xml:space="preserve">  |  Chart recreated from anonymized data</w:t>
      </w:r>
    </w:p>
    <w:p>
      <w:pPr>
        <w:pStyle w:val="Heading1"/>
      </w:pPr>
      <w:r>
        <w:t xml:space="preserve">Appendix D - Stand Inventory and Workflow</w:t>
      </w:r>
    </w:p>
    <w:p>
      <w:pPr>
        <w:spacing w:after="60" w:before="120"/>
        <w:jc w:val="center"/>
      </w:pPr>
      <w:r>
        <w:drawing>
          <wp:inline distT="0" distB="0" distL="0" distR="0">
            <wp:extent cx="4752975" cy="2324100"/>
            <wp:effectExtent t="0" r="0" b="0" l="0"/>
            <wp:docPr id="1" name="Only 3 of 18 stands are free for removals and production" descr="Only 3 of 18 stands are free for removals and production" title="Only 3 of 18 stands are free for removals and p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8"/>
          <w:szCs w:val="18"/>
        </w:rPr>
        <w:t xml:space="preserve">Only 3 of 18 stands are free for removals and production</w:t>
      </w:r>
      <w:r>
        <w:rPr>
          <w:color w:val="6B7785"/>
          <w:sz w:val="16"/>
          <w:szCs w:val="16"/>
        </w:rPr>
        <w:t xml:space="preserve">  |  Chart recreated from anonymized data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1381125"/>
            <wp:effectExtent t="0" r="0" b="0" l="0"/>
            <wp:docPr id="1" name="Engine transportation workflow" descr="Engine transportation workflow" title="Engine transportation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785"/>
          <w:sz w:val="18"/>
          <w:szCs w:val="18"/>
        </w:rPr>
        <w:t xml:space="preserve">Engine transportation workflow</w:t>
      </w:r>
      <w:r>
        <w:rPr>
          <w:color w:val="6B7785"/>
          <w:sz w:val="16"/>
          <w:szCs w:val="16"/>
        </w:rPr>
        <w:t xml:space="preserve">  |  Chart recreated from anonymized data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5"/>
        <w:sz w:val="16"/>
        <w:szCs w:val="16"/>
      </w:rPr>
      <w:t xml:space="preserve">Fictionalized names, sites, and vendors. Photos are synthetic (AI-generated) and contain no branding.   Page </w:t>
    </w:r>
    <w:r>
      <w:rPr>
        <w:color w:val="6B77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785"/>
        <w:sz w:val="16"/>
        <w:szCs w:val="16"/>
      </w:rPr>
      <w:t xml:space="preserve">ANONYMIZED TRAINING EXAMPLE  |  REFINED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E7CB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35a7f3fdea966d9a3ba87b349880868fa9ade9.png"/><Relationship Id="rId10" Type="http://schemas.openxmlformats.org/officeDocument/2006/relationships/image" Target="media/18e47f80ddcf64ae85374b13b36181855d874bde.png"/><Relationship Id="rId11" Type="http://schemas.openxmlformats.org/officeDocument/2006/relationships/image" Target="media/2ab6e7ba85c79559c5a6c7368727f14bfb69eddd.png"/><Relationship Id="rId12" Type="http://schemas.openxmlformats.org/officeDocument/2006/relationships/image" Target="media/29b98f1183834c0c64b1a1e9a1de7d6b87f6e8cf.png"/><Relationship Id="rId13" Type="http://schemas.openxmlformats.org/officeDocument/2006/relationships/image" Target="media/b1660fbc9722f7741401d9267ebc9fbe82d20c9f.png"/><Relationship Id="rId14" Type="http://schemas.openxmlformats.org/officeDocument/2006/relationships/image" Target="media/efc47689a57a563064b1cd931710c58ef641e46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Williams, KeAndre</dc:creator>
  <lastModifiedBy>Williams, KeAndre</lastModifiedBy>
  <revision>1</revision>
  <dcterms:created xsi:type="dcterms:W3CDTF">2026-10-02T04:02:11.9722725Z</dcterms:created>
  <dcterms:modified xsi:type="dcterms:W3CDTF">2026-10-02T04:02:11.9722725Z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