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梁惠王曰：「寡人之於國也，盡心焉耳矣。河內凶，則移其民於河東，移其粟於河內。河東凶亦然。察鄰國之政，無如寡人之用心者。鄰國之民不加少，寡人之民不加多，何也？」</w:t>
        <w:br/>
        <w:t>孟子對曰：「王好戰，請以戰喻。填然鼓之，兵刃既接，棄甲曳兵而走。或百步而後止，或五十步而後止。以五十步笑百步，則何如？」</w:t>
        <w:br/>
        <w:t>曰：「不可，直不百步耳，是亦走也。」</w:t>
        <w:br/>
        <w:t>曰：「王如知此，則無望民之多於鄰國也。」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  <w:r>
        <w:rPr>
          <w:rFonts w:ascii="台灣明體" w:hAnsi="台灣明體" w:eastAsia="台灣明體"/>
          <w:b w:val="0"/>
          <w:sz w:val="26"/>
        </w:rPr>
        <w:t>.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