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jc w:val="center"/>
      </w:pPr>
      <w:r>
        <w:rPr>
          <w:rFonts w:ascii="台灣明體" w:hAnsi="台灣明體" w:eastAsia="台灣明體"/>
          <w:b w:val="0"/>
          <w:sz w:val="26"/>
        </w:rPr>
        <w:t xml:space="preserve"> 《孟子 · 告子上》(選)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孟子曰：「魚，我所欲也；熊掌，亦我所欲也，二者不可得兼，舍魚而取熊掌者也。生，亦我所欲也；義，亦我所欲也，二者不可得兼，舍生而取義者也。生亦我所欲，所欲有甚於生者，故不為苟得也；死亦我所惡，所惡有甚於死者，故患有所不辟也。如使人之所欲莫甚於生，則凡可以得生者，何不用也？使人之所惡莫甚於死者，則凡可以辟患者，何不為也？由是則生而有不用也，由是則可以辟患而有不為也。是故所欲有甚於生者，所惡有甚於死者，非獨賢者有是心也，人皆有之，賢者能勿喪耳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