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layout: default</w:t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   body {</w:t>
        <w:br/>
        <w:br/>
        <w:t xml:space="preserve">    }</w:t>
        <w:br/>
        <w:t xml:space="preserve">    p.big {</w:t>
        <w:br/>
        <w:t xml:space="preserve">      line-height: ３;</w:t>
        <w:br/>
        <w:t xml:space="preserve">      font-size: x-large;</w:t>
        <w:br/>
        <w:t xml:space="preserve">    }</w:t>
        <w:br/>
        <w:t xml:space="preserve">    p {</w:t>
        <w:br/>
        <w:t xml:space="preserve">      font-size: １.５em;</w:t>
        <w:br/>
        <w:t xml:space="preserve">    }</w:t>
        <w:br/>
        <w:t xml:space="preserve">    </w:t>
      </w:r>
    </w:p>
    <w:p>
      <w:pPr>
        <w:jc w:val="center"/>
      </w:pPr>
      <w:r>
        <w:rPr>
          <w:rFonts w:ascii="台灣明體" w:hAnsi="台灣明體" w:eastAsia="台灣明體"/>
          <w:b w:val="0"/>
          <w:sz w:val="26"/>
        </w:rPr>
        <w:t xml:space="preserve"> 《荀子 · 王制》 </w:t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原文</w:t>
      </w:r>
    </w:p>
    <w:p>
      <w:r>
        <w:rPr>
          <w:rFonts w:ascii="台灣明體" w:hAnsi="台灣明體" w:eastAsia="台灣明體"/>
          <w:b w:val="0"/>
          <w:sz w:val="26"/>
        </w:rPr>
        <w:t>水火有氣而無生，草木有生而無知，禽獸有知而無義，人有氣、有生、有知，亦且有義，故最為天下貴也。力不若牛，走不若馬，而牛馬為用，何也？曰：人能羣，彼不能羣也。人何以能羣？曰：分。分何以能行？曰：義。故義以分則和，和則一，一則多力，多力則彊，彊則勝物；故宮室可得而居也。故序四時，裁萬物，兼利天下，無它故焉，得之分義也。</w:t>
      </w:r>
    </w:p>
    <w:p>
      <w:r>
        <w:rPr>
          <w:rFonts w:ascii="台灣明體" w:hAnsi="台灣明體" w:eastAsia="台灣明體"/>
          <w:b w:val="0"/>
          <w:sz w:val="26"/>
        </w:rPr>
        <w:t>故人生不能無羣，羣而無分則爭，爭則亂，亂則離，離則弱，弱則不能勝物；故宮室不可得而居也，不可少頃舍禮義之謂也。能以事親謂之孝，能以事兄謂之弟，能以事上謂之順，能以使下謂之君。</w:t>
      </w:r>
    </w:p>
    <w:p>
      <w:r>
        <w:rPr>
          <w:rFonts w:ascii="台灣明體" w:hAnsi="台灣明體" w:eastAsia="台灣明體"/>
          <w:b w:val="0"/>
          <w:sz w:val="26"/>
        </w:rPr>
        <w:t>君者，善羣也。羣道當，則萬物皆得其宜，六畜皆得其長，羣生皆得其命。故養長時，則六畜育；殺生時，則草木殖；政令時，則百姓一，賢良服。</w:t>
      </w:r>
    </w:p>
    <w:p>
      <w:r>
        <w:rPr>
          <w:rFonts w:ascii="台灣明體" w:hAnsi="台灣明體" w:eastAsia="台灣明體"/>
          <w:b w:val="0"/>
          <w:sz w:val="26"/>
        </w:rPr>
        <w:t>聖王之制也。</w:t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翻譯與文法說明</w:t>
      </w:r>
    </w:p>
    <w:p>
      <w:r>
        <w:rPr>
          <w:rFonts w:ascii="台灣明體" w:hAnsi="台灣明體" w:eastAsia="台灣明體"/>
          <w:b w:val="0"/>
          <w:sz w:val="26"/>
        </w:rPr>
        <w:t>目錄</w:t>
      </w:r>
    </w:p>
    <w:sectPr w:rsidR="00FC693F" w:rsidRPr="0006063C" w:rsidSect="00034616">
      <w:pgSz w:w="8640" w:h="12960"/>
      <w:pgMar w:top="864" w:right="864" w:bottom="864" w:left="864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台灣明體" w:hAnsi="台灣明體" w:eastAsia="台灣明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台灣明體" w:hAnsi="台灣明體" w:eastAsia="台灣明體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