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台灣明體" w:hAnsi="台灣明體" w:eastAsia="台灣明體"/>
          <w:b/>
          <w:sz w:val="34"/>
        </w:rPr>
        <w:t>鏡花緣1</w:t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 昔曹大家《女誡》云：「女有四行：一曰婦德，二曰婦言，三曰婦容，四曰婦功。」此四者，女人之大節，而不可無者也。今開卷即以「女魁星」三字冠首，大有深意，蓋言婦女雖以德、言、容、功為重，其中若有夙具慧根者，讀書識字，無不成名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 話說天下名山，無如蓬萊、方丈、瀛洲三島，乃神仙聚集之所。那蓬萊之山，方圓五百餘里，去此海岸二十一萬里。其中台觀皆金玉所成，禽獸盡是白色，珠玕之樹叢生，華實皆有滋味，食之長生不老。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 此山之東，有一洞府，名曰「碧雲宮」。宮中住著一位仙姑，自號「百花仙子」，專司人間百花開落。手下眾花仙，各有職掌。那牡丹仙子、芍藥仙子、蘭花仙子、梅花仙子、海棠仙子，皆是百花仙子座下得力之人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 一日，百花仙子正同眾仙子在碧雲宮閒談，忽見仙童來報：「啟稟仙姑，今有王母娘娘差遣仙女前來，說瑤池開宴，請仙姑赴宴。」百花仙子聞言，忙整衣冠，出迎仙女。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 那仙女道：「奉王母娘娘法旨，因蟠桃大會，特請百花仙子赴瑤池一敘。」百花仙子道：「既承王母娘娘盛情，敢不遵命。」於是辭了眾仙子，駕起祥雲，直奔瑤池而去。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 來到瑤池，只見雲霞繚繞，仙樂悠揚。王母娘娘端坐正中，兩旁眾仙分列。百花仙子上前參見，王母道：「仙子免禮，快快請坐。」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 正是：</w:t>
        <w:br/>
        <w:br/>
        <w:t xml:space="preserve">  </w:t>
      </w:r>
      <w:r>
        <w:rPr>
          <w:rFonts w:ascii="台灣明體" w:hAnsi="台灣明體" w:eastAsia="台灣明體"/>
          <w:b w:val="0"/>
          <w:sz w:val="26"/>
        </w:rPr>
        <w:br/>
        <w:t xml:space="preserve">  瑤池盛會群仙聚，</w:t>
      </w:r>
      <w:r>
        <w:br/>
      </w:r>
      <w:r>
        <w:rPr>
          <w:rFonts w:ascii="台灣明體" w:hAnsi="台灣明體" w:eastAsia="台灣明體"/>
          <w:b w:val="0"/>
          <w:sz w:val="26"/>
        </w:rPr>
        <w:br/>
        <w:t xml:space="preserve">  碧落紅塵一線牽。</w:t>
      </w:r>
      <w:r>
        <w:br/>
      </w:r>
      <w:r>
        <w:rPr>
          <w:rFonts w:ascii="台灣明體" w:hAnsi="台灣明體" w:eastAsia="台灣明體"/>
          <w:b w:val="0"/>
          <w:sz w:val="26"/>
        </w:rPr>
        <w:br/>
        <w:t xml:space="preserve">  百花有靈知歲序，</w:t>
      </w:r>
      <w:r>
        <w:br/>
      </w:r>
      <w:r>
        <w:rPr>
          <w:rFonts w:ascii="台灣明體" w:hAnsi="台灣明體" w:eastAsia="台灣明體"/>
          <w:b w:val="0"/>
          <w:sz w:val="26"/>
        </w:rPr>
        <w:br/>
        <w:t xml:space="preserve">  人間春色待誰傳。</w:t>
        <w:br/>
        <w:t xml:space="preserve">  </w:t>
      </w:r>
      <w:r>
        <w:rPr>
          <w:rFonts w:ascii="台灣明體" w:hAnsi="台灣明體" w:eastAsia="台灣明體"/>
          <w:b w:val="0"/>
          <w:sz w:val="26"/>
        </w:rPr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 欲知後事如何，且聽下回分解。</w:t>
        <w:br/>
      </w:r>
    </w:p>
    <w:sectPr w:rsidR="00FC693F" w:rsidRPr="0006063C" w:rsidSect="00034616">
      <w:pgSz w:w="8640" w:h="12960"/>
      <w:pgMar w:top="864" w:right="864" w:bottom="864" w:left="864" w:header="720" w:footer="720" w:gutter="0"/>
      <w:cols w:space="720"/>
      <w:docGrid w:linePitch="360"/>
      <w:textDirection w:val="tbR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台灣明體" w:hAnsi="台灣明體" w:eastAsia="台灣明體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台灣明體" w:hAnsi="台灣明體" w:eastAsia="台灣明體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