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Feature Demo</w:t>
      </w:r>
    </w:p>
    <w:p/>
    <w:p>
      <w:r>
        <w:rPr>
          <w:sz w:val="28"/>
        </w:rPr>
        <w:t>古之學者必有師</w:t>
      </w:r>
      <w:r>
        <w:rPr>
          <w:rStyle w:val="FootnoteReference"/>
          <w:color w:val="e74c3c"/>
        </w:rPr>
        <w:footnoteReference w:id="1"/>
      </w:r>
      <w:r>
        <w:rPr>
          <w:sz w:val="28"/>
        </w:rPr>
        <w:t>。師者，所以傳道受業解惑也</w:t>
      </w:r>
      <w:r>
        <w:rPr>
          <w:rStyle w:val="FootnoteReference"/>
          <w:color w:val="3498db"/>
        </w:rPr>
        <w:footnoteReference w:id="2"/>
      </w:r>
      <w:r>
        <w:rPr>
          <w:sz w:val="28"/>
        </w:rPr>
        <w:t>。人非生而知之者，孰能無惑</w:t>
      </w:r>
      <w:r>
        <w:rPr>
          <w:rStyle w:val="FootnoteReference"/>
          <w:color w:val="e74c3c"/>
        </w:rPr>
        <w:footnoteReference w:id="3"/>
      </w:r>
      <w:r>
        <w:rPr>
          <w:sz w:val="28"/>
        </w:rPr>
        <w:t>？惑而不從師，其為惑也</w:t>
      </w:r>
      <w:r>
        <w:rPr>
          <w:rStyle w:val="FootnoteReference"/>
          <w:color w:val="3498db"/>
        </w:rPr>
        <w:footnoteReference w:id="4"/>
      </w:r>
      <w:r>
        <w:rPr>
          <w:sz w:val="28"/>
        </w:rPr>
        <w:t>，終不解矣</w:t>
      </w:r>
      <w:r>
        <w:rPr>
          <w:rStyle w:val="FootnoteReference"/>
          <w:color w:val="9b59b6"/>
        </w:rPr>
        <w:footnoteReference w:id="5"/>
      </w:r>
      <w:r>
        <w:rPr>
          <w:sz w:val="28"/>
        </w:rPr>
        <w:t>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20CE" w:rsidRDefault="00DF20CE" w:rsidP="009A67E1">
      <w:pPr>
        <w:spacing w:after="0" w:line="240" w:lineRule="auto"/>
      </w:pPr>
      <w:r>
        <w:separator/>
      </w:r>
    </w:p>
  </w:footnote>
  <w:footnote w:type="continuationSeparator" w:id="0">
    <w:p w:rsidR="00DF20CE" w:rsidRDefault="00DF20CE" w:rsidP="009A67E1"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【注1】師：老師，指有專門知識或技能的人。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【解讀1】這句話說明老師的三個職責：傳授道理、教授學業、解答疑惑。</w:t>
      </w:r>
    </w:p>
  </w:footnote>
  <w:footnote w:id="3">
    <w:p>
      <w:pPr>
        <w:pStyle w:val="FootnoteText"/>
      </w:pPr>
      <w:r>
        <w:rPr>
          <w:rStyle w:val="FootnoteReference"/>
        </w:rPr>
        <w:footnoteRef/>
      </w:r>
      <w:r>
        <w:t xml:space="preserve"> 【注2】孰：誰。</w:t>
      </w:r>
    </w:p>
  </w:footnote>
  <w:footnote w:id="4">
    <w:p>
      <w:pPr>
        <w:pStyle w:val="FootnoteText"/>
      </w:pPr>
      <w:r>
        <w:rPr>
          <w:rStyle w:val="FootnoteReference"/>
        </w:rPr>
        <w:footnoteRef/>
      </w:r>
      <w:r>
        <w:t xml:space="preserve"> 【解讀2】有疑惑卻不向老師請教，那疑惑就永遠無法解開。</w:t>
      </w:r>
    </w:p>
  </w:footnote>
  <w:footnote w:id="5">
    <w:p>
      <w:pPr>
        <w:pStyle w:val="FootnoteText"/>
      </w:pPr>
      <w:r>
        <w:rPr>
          <w:rStyle w:val="FootnoteReference"/>
        </w:rPr>
        <w:footnoteRef/>
      </w:r>
      <w:r>
        <w:t xml:space="preserve"> 【脂批1】此開卷第一回也。作者自云曾歷過一番夢幻之後，故將真事隱去。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