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Feature Demo</w:t>
      </w:r>
    </w:p>
    <w:p/>
    <w:p>
      <w:r>
        <w:rPr>
          <w:sz w:val="28"/>
        </w:rPr>
        <w:t>古之學者必有師</w:t>
      </w:r>
      <w:r>
        <w:rPr>
          <w:rStyle w:val="FootnoteReference"/>
          <w:color w:val="e74c3c"/>
        </w:rPr>
        <w:footnoteReference w:id="1"/>
      </w:r>
      <w:r>
        <w:rPr>
          <w:color w:val="E74C3C"/>
          <w:sz w:val="20"/>
          <w:vertAlign w:val="superscript"/>
        </w:rPr>
        <w:t>[注]</w:t>
      </w:r>
      <w:r>
        <w:rPr>
          <w:sz w:val="28"/>
        </w:rPr>
        <w:t>。師者，所以傳道受業解惑也</w:t>
      </w:r>
      <w:r>
        <w:rPr>
          <w:rStyle w:val="FootnoteReference"/>
          <w:color w:val="3498db"/>
        </w:rPr>
        <w:footnoteReference w:id="2"/>
      </w:r>
      <w:r>
        <w:rPr>
          <w:color w:val="3498DB"/>
          <w:sz w:val="20"/>
          <w:vertAlign w:val="superscript"/>
        </w:rPr>
        <w:t>[解讀]</w:t>
      </w:r>
      <w:r>
        <w:rPr>
          <w:sz w:val="28"/>
        </w:rPr>
        <w:t>。人非生而知之者，孰能無惑</w:t>
      </w:r>
      <w:r>
        <w:rPr>
          <w:rStyle w:val="FootnoteReference"/>
          <w:color w:val="e74c3c"/>
        </w:rPr>
        <w:footnoteReference w:id="3"/>
      </w:r>
      <w:r>
        <w:rPr>
          <w:color w:val="E74C3C"/>
          <w:sz w:val="20"/>
          <w:vertAlign w:val="superscript"/>
        </w:rPr>
        <w:t>[注]</w:t>
      </w:r>
      <w:r>
        <w:rPr>
          <w:sz w:val="28"/>
        </w:rPr>
        <w:t>？惑而不從師，其為惑也</w:t>
      </w:r>
      <w:r>
        <w:rPr>
          <w:rStyle w:val="FootnoteReference"/>
          <w:color w:val="3498db"/>
        </w:rPr>
        <w:footnoteReference w:id="4"/>
      </w:r>
      <w:r>
        <w:rPr>
          <w:color w:val="3498DB"/>
          <w:sz w:val="20"/>
          <w:vertAlign w:val="superscript"/>
        </w:rPr>
        <w:t>[解讀]</w:t>
      </w:r>
      <w:r>
        <w:rPr>
          <w:sz w:val="28"/>
        </w:rPr>
        <w:t>，終不解矣</w:t>
      </w:r>
      <w:r>
        <w:rPr>
          <w:rStyle w:val="FootnoteReference"/>
          <w:color w:val="9b59b6"/>
        </w:rPr>
        <w:footnoteReference w:id="5"/>
      </w:r>
      <w:r>
        <w:rPr>
          <w:color w:val="9B59B6"/>
          <w:sz w:val="20"/>
          <w:vertAlign w:val="superscript"/>
        </w:rPr>
        <w:t>[脂批]</w:t>
      </w:r>
      <w:r>
        <w:rPr>
          <w:sz w:val="28"/>
        </w:rPr>
        <w:t>。</w:t>
      </w:r>
    </w:p>
    <w:sectPr w:rsidR="00FC693F" w:rsidRPr="0006063C" w:rsidSect="00034616">
      <w:pgSz w:w="16838" w:h="11906"/>
      <w:pgMar w:top="1417" w:right="1417" w:bottom="1417" w:left="1417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20CE" w:rsidRDefault="00DF20CE" w:rsidP="009A67E1">
      <w:pPr>
        <w:spacing w:after="0" w:line="240" w:lineRule="auto"/>
      </w:pPr>
      <w:r>
        <w:separator/>
      </w:r>
    </w:p>
  </w:footnote>
  <w:footnote w:type="continuationSeparator" w:id="0">
    <w:p w:rsidR="00DF20CE" w:rsidRDefault="00DF20CE" w:rsidP="009A67E1"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【注】師：老師，指有專門知識或技能的人。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【解讀】這句話說明老師的三個職責：傳授道理、教授學業、解答疑惑。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【注】孰：誰。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【解讀】有疑惑卻不向老師請教，那疑惑就永遠無法解開。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【脂批】此開卷第一回也。作者自云曾歷過一番夢幻之後，故將真事隱去。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