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#4</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1.004</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https://github.com/DP2-G004/Acme-SF-D01</w:t>
            </w:r>
            <w:r w:rsidDel="00000000" w:rsidR="00000000" w:rsidRPr="00000000">
              <w:rPr>
                <w:rtl w:val="0"/>
              </w:rPr>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08368306D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javsanmar5</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Santos Martín, Javier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Developer, Secretary</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03/08/2024</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related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aim of achieving greater visibility in the market.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the moment, at least one month long),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sponsorship (“Financial”, “In kind”),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billed through the use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“IN-[0-9]{4}-[0-9]{4}”,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month ahead the registration time),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not </w:t>
        <w:tab/>
        <w:t xml:space="preserve">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it is applied (positive or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(calculated by adding together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 applied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 than or equal to 21.00%;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sponsor1/ sponsor1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sponsor2/ sponsor2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all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be equal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sponsorship.</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tab/>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list of expected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web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contact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tab/>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4F60"/>
    <w:pPr>
      <w:spacing w:after="200" w:line="276" w:lineRule="auto"/>
      <w:jc w:val="both"/>
    </w:pPr>
    <w:rPr>
      <w:kern w:val="0"/>
      <w:lang w:val="en-GB"/>
    </w:rPr>
  </w:style>
  <w:style w:type="paragraph" w:styleId="Ttulo1">
    <w:name w:val="heading 1"/>
    <w:basedOn w:val="Normal"/>
    <w:next w:val="Normal"/>
    <w:link w:val="Ttulo1Car"/>
    <w:uiPriority w:val="9"/>
    <w:qFormat w:val="1"/>
    <w:rsid w:val="00EA4F60"/>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A4F60"/>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A4F60"/>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A4F60"/>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A4F60"/>
    <w:pPr>
      <w:keepNext w:val="1"/>
      <w:numPr>
        <w:numId w:val="1"/>
      </w:numPr>
      <w:spacing w:after="240" w:before="240" w:line="240" w:lineRule="auto"/>
    </w:pPr>
  </w:style>
  <w:style w:type="paragraph" w:styleId="Prrafodesublista" w:customStyle="1">
    <w:name w:val="Párrafo de sublista"/>
    <w:basedOn w:val="Prrafodelista"/>
    <w:qFormat w:val="1"/>
    <w:rsid w:val="00EA4F60"/>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A4F60"/>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A4F60"/>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A4F60"/>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zrHiGIquTxue2g5Lt6e4gz79qg==">CgMxLjA4AHIhMWVhUWhscFd2WmFObVhFa0lxN1p5MkFaZDRxOVNhQVEw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2024-02-04T17:28:00Z</dcterms:created>
  <dc:creator>JOSE GONZALEZ ENRIQUEZ</dc:creator>
</cp:coreProperties>
</file>