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6">
              <w:r w:rsidDel="00000000" w:rsidR="00000000" w:rsidRPr="00000000">
                <w:rPr>
                  <w:color w:val="1155cc"/>
                  <w:u w:val="single"/>
                  <w:rtl w:val="0"/>
                </w:rPr>
                <w:t xml:space="preserve">https://github.com/DP2-c1-028/Acme-SF-D02</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47559862 W</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danbenhid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Benito Hidalgo, Daniel</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02/03/2024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Produce a UML domain model</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P2-c1-028/Acme-SF-D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