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6"/>
          <w:szCs w:val="36"/>
          <w:lang w:val="en-IN"/>
        </w:rPr>
      </w:pPr>
      <w:bookmarkStart w:id="0" w:name="_GoBack"/>
      <w:r>
        <w:rPr>
          <w:rFonts w:hint="default" w:ascii="Times New Roman" w:hAnsi="Times New Roman" w:cs="Times New Roman"/>
          <w:b/>
          <w:bCs/>
          <w:sz w:val="36"/>
          <w:szCs w:val="36"/>
          <w:lang w:val="en-IN"/>
        </w:rPr>
        <w:t>Viewer Acquisition Cost Analysis</w:t>
      </w:r>
      <w:bookmarkEnd w:id="0"/>
      <w:r>
        <w:rPr>
          <w:rFonts w:hint="default" w:ascii="Times New Roman" w:hAnsi="Times New Roman" w:cs="Times New Roman"/>
          <w:b/>
          <w:bCs/>
          <w:sz w:val="36"/>
          <w:szCs w:val="36"/>
          <w:lang w:val="en-IN"/>
        </w:rPr>
        <w:t xml:space="preserve">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4"/>
          <w:szCs w:val="24"/>
        </w:rPr>
      </w:pPr>
    </w:p>
    <w:p>
      <w:pPr>
        <w:pStyle w:val="6"/>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left"/>
        <w:rPr>
          <w:rFonts w:hint="default" w:ascii="Times New Roman" w:hAnsi="Times New Roman" w:cs="Times New Roman"/>
          <w:sz w:val="28"/>
          <w:szCs w:val="28"/>
        </w:rPr>
      </w:pPr>
    </w:p>
    <w:p>
      <w:pPr>
        <w:pStyle w:val="2"/>
        <w:jc w:val="left"/>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left"/>
        <w:rPr>
          <w:rFonts w:hint="default" w:ascii="Times New Roman" w:hAnsi="Times New Roman" w:cs="Times New Roman"/>
          <w:spacing w:val="-13"/>
          <w:sz w:val="24"/>
          <w:szCs w:val="24"/>
          <w:lang w:val="en-IN"/>
        </w:rPr>
      </w:pPr>
    </w:p>
    <w:p>
      <w:pPr>
        <w:jc w:val="left"/>
        <w:rPr>
          <w:rFonts w:hint="default" w:ascii="Times New Roman" w:hAnsi="Times New Roman" w:cs="Times New Roman"/>
          <w:sz w:val="24"/>
          <w:szCs w:val="24"/>
        </w:rPr>
      </w:pPr>
      <w:r>
        <w:rPr>
          <w:rFonts w:hint="default" w:ascii="Times New Roman" w:hAnsi="Times New Roman" w:cs="Times New Roman"/>
          <w:b w:val="0"/>
          <w:sz w:val="24"/>
          <w:szCs w:val="24"/>
        </w:rPr>
        <w:t>This report summarizes the work done on analyzing the Viewer Acquisition Cost (VAC) trends in the entertainment sector. The goal was to explore the fluctuations in acquisition costs and their relation to viewership data across various platforms and timeframes.</w:t>
      </w:r>
    </w:p>
    <w:p>
      <w:pPr>
        <w:pStyle w:val="2"/>
        <w:jc w:val="left"/>
        <w:rPr>
          <w:rFonts w:hint="default" w:ascii="Times New Roman" w:hAnsi="Times New Roman" w:cs="Times New Roman"/>
          <w:b w:val="0"/>
          <w:bCs w:val="0"/>
          <w:spacing w:val="-13"/>
          <w:sz w:val="24"/>
          <w:szCs w:val="24"/>
          <w:lang w:val="en-IN"/>
        </w:rPr>
      </w:pPr>
    </w:p>
    <w:p>
      <w:pPr>
        <w:pStyle w:val="2"/>
        <w:jc w:val="left"/>
        <w:rPr>
          <w:rFonts w:hint="default" w:ascii="Times New Roman" w:hAnsi="Times New Roman" w:cs="Times New Roman"/>
          <w:b w:val="0"/>
          <w:bCs w:val="0"/>
          <w:spacing w:val="-13"/>
          <w:sz w:val="28"/>
          <w:szCs w:val="28"/>
          <w:lang w:val="en-IN"/>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val="0"/>
          <w:sz w:val="24"/>
          <w:szCs w:val="24"/>
        </w:rPr>
        <w:t>he main objective of today's task was to analyze viewer acquisition cost data over the past six months and identify significant trends that can inform marketing strategies.</w:t>
      </w:r>
    </w:p>
    <w:p>
      <w:pPr>
        <w:pStyle w:val="6"/>
        <w:jc w:val="left"/>
        <w:rPr>
          <w:rFonts w:hint="default" w:ascii="Times New Roman" w:hAnsi="Times New Roman" w:cs="Times New Roman"/>
          <w:sz w:val="24"/>
          <w:szCs w:val="24"/>
        </w:rPr>
      </w:pPr>
    </w:p>
    <w:p>
      <w:pPr>
        <w:pStyle w:val="6"/>
        <w:spacing w:before="16"/>
        <w:jc w:val="left"/>
        <w:rPr>
          <w:rFonts w:hint="default" w:ascii="Times New Roman" w:hAnsi="Times New Roman" w:cs="Times New Roman"/>
          <w:sz w:val="24"/>
          <w:szCs w:val="24"/>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left"/>
        <w:rPr>
          <w:rFonts w:hint="default" w:ascii="Times New Roman" w:hAnsi="Times New Roman" w:cs="Times New Roman"/>
          <w:b/>
          <w:sz w:val="24"/>
          <w:szCs w:val="24"/>
        </w:rPr>
      </w:pPr>
    </w:p>
    <w:p>
      <w:pPr>
        <w:jc w:val="left"/>
        <w:rPr>
          <w:rFonts w:hint="default" w:ascii="Times New Roman" w:hAnsi="Times New Roman" w:cs="Times New Roman"/>
          <w:sz w:val="24"/>
          <w:szCs w:val="24"/>
        </w:rPr>
      </w:pPr>
      <w:r>
        <w:rPr>
          <w:rFonts w:hint="default" w:ascii="Times New Roman" w:hAnsi="Times New Roman" w:cs="Times New Roman"/>
          <w:b w:val="0"/>
          <w:sz w:val="24"/>
          <w:szCs w:val="24"/>
        </w:rPr>
        <w:t xml:space="preserve"> Data Cleaning and Preprocessing</w:t>
      </w:r>
      <w:r>
        <w:rPr>
          <w:rFonts w:hint="default" w:ascii="Times New Roman" w:hAnsi="Times New Roman" w:cs="Times New Roman"/>
          <w:b w:val="0"/>
          <w:sz w:val="24"/>
          <w:szCs w:val="24"/>
        </w:rPr>
        <w:br w:type="textWrapping"/>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Trend Analysis for Viewer Acquisition Costs</w:t>
      </w:r>
      <w:r>
        <w:rPr>
          <w:rFonts w:hint="default" w:ascii="Times New Roman" w:hAnsi="Times New Roman" w:cs="Times New Roman"/>
          <w:b w:val="0"/>
          <w:sz w:val="24"/>
          <w:szCs w:val="24"/>
        </w:rPr>
        <w:br w:type="textWrapping"/>
      </w:r>
      <w:r>
        <w:rPr>
          <w:rFonts w:hint="default" w:ascii="Times New Roman" w:hAnsi="Times New Roman" w:cs="Times New Roman"/>
          <w:b w:val="0"/>
          <w:sz w:val="11"/>
          <w:szCs w:val="11"/>
        </w:rPr>
        <w:t xml:space="preserve">● </w:t>
      </w:r>
      <w:r>
        <w:rPr>
          <w:rFonts w:hint="default" w:ascii="Times New Roman" w:hAnsi="Times New Roman" w:cs="Times New Roman"/>
          <w:b w:val="0"/>
          <w:sz w:val="24"/>
          <w:szCs w:val="24"/>
        </w:rPr>
        <w:t>Visualization of Monthly VAC Trends</w:t>
      </w:r>
    </w:p>
    <w:p>
      <w:pPr>
        <w:pStyle w:val="6"/>
        <w:spacing w:before="21"/>
        <w:jc w:val="left"/>
        <w:rPr>
          <w:rFonts w:hint="default" w:ascii="Times New Roman" w:hAnsi="Times New Roman" w:cs="Times New Roman"/>
          <w:sz w:val="24"/>
          <w:szCs w:val="24"/>
        </w:rPr>
      </w:pPr>
    </w:p>
    <w:p>
      <w:pPr>
        <w:pStyle w:val="2"/>
        <w:spacing w:before="1"/>
        <w:jc w:val="left"/>
        <w:rPr>
          <w:rFonts w:hint="default" w:ascii="Times New Roman" w:hAnsi="Times New Roman" w:cs="Times New Roman"/>
          <w:spacing w:val="-2"/>
          <w:sz w:val="24"/>
          <w:szCs w:val="24"/>
        </w:rPr>
      </w:pPr>
    </w:p>
    <w:p>
      <w:pPr>
        <w:pStyle w:val="2"/>
        <w:spacing w:before="1"/>
        <w:ind w:left="0" w:leftChars="0" w:firstLine="0" w:firstLineChars="0"/>
        <w:jc w:val="left"/>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left"/>
        <w:rPr>
          <w:rFonts w:hint="default" w:ascii="Times New Roman" w:hAnsi="Times New Roman" w:cs="Times New Roman"/>
          <w:spacing w:val="-4"/>
          <w:sz w:val="24"/>
          <w:szCs w:val="24"/>
          <w:lang w:val="en-IN"/>
        </w:rPr>
      </w:pPr>
    </w:p>
    <w:p>
      <w:pPr>
        <w:pStyle w:val="2"/>
        <w:spacing w:before="1"/>
        <w:ind w:left="0" w:leftChars="0" w:firstLine="0" w:firstLineChars="0"/>
        <w:jc w:val="left"/>
        <w:rPr>
          <w:rFonts w:hint="default" w:ascii="Times New Roman" w:hAnsi="Times New Roman" w:cs="Times New Roman"/>
          <w:sz w:val="24"/>
          <w:szCs w:val="24"/>
          <w:lang w:val="en-IN"/>
        </w:rPr>
      </w:pPr>
    </w:p>
    <w:p>
      <w:pPr>
        <w:jc w:val="left"/>
        <w:rPr>
          <w:rFonts w:hint="default" w:ascii="Times New Roman" w:hAnsi="Times New Roman" w:cs="Times New Roman"/>
          <w:b w:val="0"/>
          <w:sz w:val="24"/>
          <w:szCs w:val="24"/>
        </w:rPr>
      </w:pPr>
      <w:r>
        <w:rPr>
          <w:rFonts w:hint="default" w:ascii="Times New Roman" w:hAnsi="Times New Roman" w:cs="Times New Roman"/>
          <w:b w:val="0"/>
          <w:sz w:val="24"/>
          <w:szCs w:val="24"/>
        </w:rPr>
        <w:t>● Task 1: Data Cleaning and Preprocessing</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w:t>
      </w:r>
      <w:r>
        <w:rPr>
          <w:rFonts w:hint="default" w:ascii="Times New Roman" w:hAnsi="Times New Roman" w:cs="Times New Roman"/>
          <w:b w:val="0"/>
          <w:sz w:val="11"/>
          <w:szCs w:val="11"/>
        </w:rPr>
        <w:t xml:space="preserve">  ●</w:t>
      </w:r>
      <w:r>
        <w:rPr>
          <w:rFonts w:hint="default" w:ascii="Times New Roman" w:hAnsi="Times New Roman" w:cs="Times New Roman"/>
          <w:b w:val="0"/>
          <w:sz w:val="24"/>
          <w:szCs w:val="24"/>
        </w:rPr>
        <w:t xml:space="preserve"> Status: Completed</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w:t>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Details: Cleaned the raw VAC dataset by removing duplicates and handling missing values. Filtered data based on specific time periods for analysis.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Task 2: Trend Analysis for Viewer Acquisition Costs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w:t>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Status: In Progress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w:t>
      </w:r>
      <w:r>
        <w:rPr>
          <w:rFonts w:hint="default" w:ascii="Times New Roman" w:hAnsi="Times New Roman" w:cs="Times New Roman"/>
          <w:b w:val="0"/>
          <w:sz w:val="11"/>
          <w:szCs w:val="11"/>
        </w:rPr>
        <w:t xml:space="preserve"> ● </w:t>
      </w:r>
      <w:r>
        <w:rPr>
          <w:rFonts w:hint="default" w:ascii="Times New Roman" w:hAnsi="Times New Roman" w:cs="Times New Roman"/>
          <w:b w:val="0"/>
          <w:sz w:val="24"/>
          <w:szCs w:val="24"/>
        </w:rPr>
        <w:t>Details: Grouped the VAC data by month and calculated average costs. Identified months with the highest and lowest acquisition costs.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Task 3: Visualization of Monthly VAC Trends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w:t>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Status: Not Started</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w:t>
      </w:r>
      <w:r>
        <w:rPr>
          <w:rFonts w:hint="default" w:ascii="Times New Roman" w:hAnsi="Times New Roman" w:cs="Times New Roman"/>
          <w:b w:val="0"/>
          <w:sz w:val="11"/>
          <w:szCs w:val="11"/>
        </w:rPr>
        <w:t xml:space="preserve"> ● </w:t>
      </w:r>
      <w:r>
        <w:rPr>
          <w:rFonts w:hint="default" w:ascii="Times New Roman" w:hAnsi="Times New Roman" w:cs="Times New Roman"/>
          <w:b w:val="0"/>
          <w:sz w:val="24"/>
          <w:szCs w:val="24"/>
        </w:rPr>
        <w:t>Details: Will create a line chart to visualize monthly VAC trends and identify potential patterns.</w:t>
      </w:r>
    </w:p>
    <w:p>
      <w:pPr>
        <w:jc w:val="left"/>
        <w:rPr>
          <w:rFonts w:hint="default" w:ascii="Times New Roman" w:hAnsi="Times New Roman" w:cs="Times New Roman"/>
          <w:b w:val="0"/>
          <w:sz w:val="24"/>
          <w:szCs w:val="24"/>
        </w:rPr>
      </w:pPr>
    </w:p>
    <w:p>
      <w:pPr>
        <w:jc w:val="left"/>
        <w:rPr>
          <w:rFonts w:hint="default" w:ascii="Times New Roman" w:hAnsi="Times New Roman" w:cs="Times New Roman"/>
          <w:b w:val="0"/>
          <w:sz w:val="24"/>
          <w:szCs w:val="24"/>
        </w:rPr>
      </w:pPr>
    </w:p>
    <w:p>
      <w:pPr>
        <w:jc w:val="left"/>
      </w:pPr>
      <w:r>
        <w:drawing>
          <wp:inline distT="0" distB="0" distL="114300" distR="114300">
            <wp:extent cx="5859780" cy="3533775"/>
            <wp:effectExtent l="0" t="0" r="762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859780" cy="3533775"/>
                    </a:xfrm>
                    <a:prstGeom prst="rect">
                      <a:avLst/>
                    </a:prstGeom>
                    <a:noFill/>
                    <a:ln>
                      <a:noFill/>
                    </a:ln>
                  </pic:spPr>
                </pic:pic>
              </a:graphicData>
            </a:graphic>
          </wp:inline>
        </w:drawing>
      </w:r>
    </w:p>
    <w:p>
      <w:pPr>
        <w:jc w:val="left"/>
      </w:pPr>
    </w:p>
    <w:p>
      <w:pPr>
        <w:jc w:val="left"/>
      </w:pPr>
      <w:r>
        <w:drawing>
          <wp:inline distT="0" distB="0" distL="114300" distR="114300">
            <wp:extent cx="5859145" cy="4224655"/>
            <wp:effectExtent l="0" t="0" r="8255"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859145" cy="4224655"/>
                    </a:xfrm>
                    <a:prstGeom prst="rect">
                      <a:avLst/>
                    </a:prstGeom>
                    <a:noFill/>
                    <a:ln>
                      <a:noFill/>
                    </a:ln>
                  </pic:spPr>
                </pic:pic>
              </a:graphicData>
            </a:graphic>
          </wp:inline>
        </w:drawing>
      </w:r>
    </w:p>
    <w:p>
      <w:pPr>
        <w:jc w:val="left"/>
      </w:pPr>
    </w:p>
    <w:p>
      <w:pPr>
        <w:jc w:val="left"/>
      </w:pPr>
      <w:r>
        <w:drawing>
          <wp:inline distT="0" distB="0" distL="114300" distR="114300">
            <wp:extent cx="5861050" cy="4664075"/>
            <wp:effectExtent l="0" t="0" r="6350"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861050" cy="4664075"/>
                    </a:xfrm>
                    <a:prstGeom prst="rect">
                      <a:avLst/>
                    </a:prstGeom>
                    <a:noFill/>
                    <a:ln>
                      <a:noFill/>
                    </a:ln>
                  </pic:spPr>
                </pic:pic>
              </a:graphicData>
            </a:graphic>
          </wp:inline>
        </w:drawing>
      </w:r>
    </w:p>
    <w:p>
      <w:pPr>
        <w:jc w:val="left"/>
      </w:pPr>
    </w:p>
    <w:p>
      <w:pPr>
        <w:jc w:val="left"/>
      </w:pPr>
      <w:r>
        <w:drawing>
          <wp:inline distT="0" distB="0" distL="114300" distR="114300">
            <wp:extent cx="5866765" cy="4398645"/>
            <wp:effectExtent l="0" t="0" r="635" b="571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5866765" cy="4398645"/>
                    </a:xfrm>
                    <a:prstGeom prst="rect">
                      <a:avLst/>
                    </a:prstGeom>
                    <a:noFill/>
                    <a:ln>
                      <a:noFill/>
                    </a:ln>
                  </pic:spPr>
                </pic:pic>
              </a:graphicData>
            </a:graphic>
          </wp:inline>
        </w:drawing>
      </w:r>
    </w:p>
    <w:p>
      <w:pPr>
        <w:jc w:val="left"/>
      </w:pPr>
    </w:p>
    <w:p>
      <w:pPr>
        <w:jc w:val="left"/>
      </w:pPr>
      <w:r>
        <w:drawing>
          <wp:inline distT="0" distB="0" distL="114300" distR="114300">
            <wp:extent cx="5861685" cy="4201795"/>
            <wp:effectExtent l="0" t="0" r="5715"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5861685" cy="4201795"/>
                    </a:xfrm>
                    <a:prstGeom prst="rect">
                      <a:avLst/>
                    </a:prstGeom>
                    <a:noFill/>
                    <a:ln>
                      <a:noFill/>
                    </a:ln>
                  </pic:spPr>
                </pic:pic>
              </a:graphicData>
            </a:graphic>
          </wp:inline>
        </w:drawing>
      </w:r>
    </w:p>
    <w:p>
      <w:pPr>
        <w:jc w:val="left"/>
        <w:rPr>
          <w:rFonts w:hint="default"/>
        </w:rPr>
      </w:pPr>
      <w:r>
        <w:drawing>
          <wp:inline distT="0" distB="0" distL="114300" distR="114300">
            <wp:extent cx="5861685" cy="4191000"/>
            <wp:effectExtent l="0" t="0" r="571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861685" cy="4191000"/>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sz w:val="24"/>
          <w:szCs w:val="24"/>
          <w:lang w:val="en-IN"/>
        </w:rPr>
      </w:pPr>
    </w:p>
    <w:p>
      <w:pPr>
        <w:pStyle w:val="2"/>
        <w:spacing w:before="1"/>
        <w:ind w:left="0" w:leftChars="0" w:firstLine="0" w:firstLineChars="0"/>
        <w:jc w:val="left"/>
        <w:rPr>
          <w:rFonts w:hint="default" w:ascii="Times New Roman" w:hAnsi="Times New Roman" w:cs="Times New Roman"/>
          <w:sz w:val="24"/>
          <w:szCs w:val="24"/>
          <w:lang w:val="en-IN"/>
        </w:rPr>
      </w:pPr>
    </w:p>
    <w:p>
      <w:pPr>
        <w:pStyle w:val="2"/>
        <w:spacing w:before="1"/>
        <w:ind w:left="0" w:leftChars="0" w:firstLine="0" w:firstLineChars="0"/>
        <w:jc w:val="left"/>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jc w:val="left"/>
        <w:rPr>
          <w:rFonts w:hint="default" w:ascii="Times New Roman" w:hAnsi="Times New Roman" w:cs="Times New Roman"/>
          <w:sz w:val="28"/>
          <w:szCs w:val="28"/>
        </w:rPr>
      </w:pPr>
      <w:r>
        <w:rPr>
          <w:rFonts w:hint="default" w:ascii="Times New Roman" w:hAnsi="Times New Roman" w:cs="Times New Roman"/>
          <w:b/>
          <w:sz w:val="28"/>
          <w:szCs w:val="28"/>
        </w:rPr>
        <w:t>Progress</w:t>
      </w:r>
    </w:p>
    <w:p>
      <w:pPr>
        <w:jc w:val="left"/>
        <w:rPr>
          <w:rFonts w:hint="default" w:ascii="Times New Roman" w:hAnsi="Times New Roman" w:cs="Times New Roman"/>
          <w:b w:val="0"/>
          <w:sz w:val="24"/>
          <w:szCs w:val="24"/>
        </w:rPr>
      </w:pP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Accomplishments: Successfully cleaned and preprocessed the VAC dataset. Completed initial trend analysis, identifying key fluctuations in acquisition costs.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br w:type="textWrapping"/>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Metrics: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 Average VAC for June: $45.60</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t xml:space="preserve">   - Maximum VAC recorded in August: $60.20</w:t>
      </w:r>
    </w:p>
    <w:p>
      <w:pPr>
        <w:jc w:val="left"/>
        <w:rPr>
          <w:rFonts w:hint="default" w:ascii="Times New Roman" w:hAnsi="Times New Roman" w:cs="Times New Roman"/>
          <w:b w:val="0"/>
          <w:sz w:val="24"/>
          <w:szCs w:val="24"/>
        </w:rPr>
      </w:pPr>
    </w:p>
    <w:p>
      <w:pPr>
        <w:jc w:val="left"/>
        <w:rPr>
          <w:rFonts w:hint="default" w:ascii="Times New Roman" w:hAnsi="Times New Roman" w:cs="Times New Roman"/>
          <w:sz w:val="28"/>
          <w:szCs w:val="28"/>
        </w:rPr>
      </w:pPr>
      <w:r>
        <w:rPr>
          <w:rFonts w:hint="default" w:ascii="Times New Roman" w:hAnsi="Times New Roman" w:cs="Times New Roman"/>
          <w:b/>
          <w:sz w:val="28"/>
          <w:szCs w:val="28"/>
        </w:rPr>
        <w:t>Challenges and Solutions</w:t>
      </w:r>
    </w:p>
    <w:p>
      <w:pPr>
        <w:jc w:val="left"/>
        <w:rPr>
          <w:rFonts w:hint="default" w:ascii="Times New Roman" w:hAnsi="Times New Roman" w:cs="Times New Roman"/>
          <w:b w:val="0"/>
          <w:sz w:val="24"/>
          <w:szCs w:val="24"/>
        </w:rPr>
      </w:pP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Challenges Faced: Missing values in the VAC data affected the continuity of the analysis.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br w:type="textWrapping"/>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Solutions Implemented: Imputed missing values using the average VAC for the respective months.</w:t>
      </w:r>
    </w:p>
    <w:p>
      <w:pPr>
        <w:jc w:val="left"/>
        <w:rPr>
          <w:rFonts w:hint="default" w:ascii="Times New Roman" w:hAnsi="Times New Roman" w:cs="Times New Roman"/>
          <w:b w:val="0"/>
          <w:sz w:val="24"/>
          <w:szCs w:val="24"/>
        </w:rPr>
      </w:pPr>
    </w:p>
    <w:p>
      <w:pPr>
        <w:jc w:val="left"/>
        <w:rPr>
          <w:rFonts w:hint="default" w:ascii="Times New Roman" w:hAnsi="Times New Roman" w:cs="Times New Roman"/>
          <w:b w:val="0"/>
          <w:sz w:val="24"/>
          <w:szCs w:val="24"/>
        </w:rPr>
      </w:pPr>
    </w:p>
    <w:p>
      <w:pPr>
        <w:jc w:val="left"/>
        <w:rPr>
          <w:rFonts w:hint="default" w:ascii="Times New Roman" w:hAnsi="Times New Roman" w:cs="Times New Roman"/>
          <w:b/>
          <w:sz w:val="28"/>
          <w:szCs w:val="28"/>
        </w:rPr>
      </w:pPr>
      <w:r>
        <w:rPr>
          <w:rFonts w:hint="default" w:ascii="Times New Roman" w:hAnsi="Times New Roman" w:cs="Times New Roman"/>
          <w:b/>
          <w:sz w:val="28"/>
          <w:szCs w:val="28"/>
        </w:rPr>
        <w:t>Next Steps</w:t>
      </w:r>
    </w:p>
    <w:p>
      <w:pPr>
        <w:jc w:val="left"/>
        <w:rPr>
          <w:rFonts w:hint="default" w:ascii="Times New Roman" w:hAnsi="Times New Roman" w:cs="Times New Roman"/>
          <w:b/>
          <w:sz w:val="28"/>
          <w:szCs w:val="28"/>
        </w:rPr>
      </w:pPr>
    </w:p>
    <w:p>
      <w:pPr>
        <w:jc w:val="left"/>
        <w:rPr>
          <w:rFonts w:hint="default" w:ascii="Times New Roman" w:hAnsi="Times New Roman" w:cs="Times New Roman"/>
          <w:b w:val="0"/>
          <w:sz w:val="24"/>
          <w:szCs w:val="24"/>
        </w:rPr>
      </w:pPr>
      <w:r>
        <w:rPr>
          <w:rFonts w:hint="default" w:ascii="Times New Roman" w:hAnsi="Times New Roman" w:cs="Times New Roman"/>
          <w:b w:val="0"/>
          <w:sz w:val="13"/>
          <w:szCs w:val="13"/>
        </w:rPr>
        <w:t>●</w:t>
      </w:r>
      <w:r>
        <w:rPr>
          <w:rFonts w:hint="default" w:ascii="Times New Roman" w:hAnsi="Times New Roman" w:cs="Times New Roman"/>
          <w:b w:val="0"/>
          <w:sz w:val="24"/>
          <w:szCs w:val="24"/>
        </w:rPr>
        <w:t xml:space="preserve"> Upcoming Tasks: Complete VAC trend visualization. Compare VAC trends with viewership data to identify correlations.</w:t>
      </w:r>
      <w:r>
        <w:rPr>
          <w:rFonts w:hint="default" w:ascii="Times New Roman" w:hAnsi="Times New Roman" w:cs="Times New Roman"/>
          <w:b w:val="0"/>
          <w:sz w:val="24"/>
          <w:szCs w:val="24"/>
        </w:rPr>
        <w:br w:type="textWrapping"/>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Goals: Generate a detailed report on VAC trends and their potential impact on marketing strategies.</w:t>
      </w:r>
    </w:p>
    <w:p>
      <w:pPr>
        <w:jc w:val="left"/>
        <w:rPr>
          <w:rFonts w:hint="default" w:ascii="Times New Roman" w:hAnsi="Times New Roman" w:cs="Times New Roman"/>
          <w:b w:val="0"/>
          <w:sz w:val="24"/>
          <w:szCs w:val="24"/>
        </w:rPr>
      </w:pPr>
    </w:p>
    <w:p>
      <w:pPr>
        <w:jc w:val="left"/>
        <w:rPr>
          <w:rFonts w:hint="default" w:ascii="Times New Roman" w:hAnsi="Times New Roman" w:cs="Times New Roman"/>
          <w:sz w:val="24"/>
          <w:szCs w:val="24"/>
        </w:rPr>
      </w:pPr>
      <w:r>
        <w:rPr>
          <w:rFonts w:hint="default" w:ascii="Times New Roman" w:hAnsi="Times New Roman" w:cs="Times New Roman"/>
          <w:b/>
          <w:sz w:val="24"/>
          <w:szCs w:val="24"/>
        </w:rPr>
        <w:t>Conclusion</w:t>
      </w:r>
    </w:p>
    <w:p>
      <w:pPr>
        <w:jc w:val="left"/>
        <w:rPr>
          <w:rFonts w:hint="default" w:ascii="Times New Roman" w:hAnsi="Times New Roman" w:cs="Times New Roman"/>
          <w:sz w:val="24"/>
          <w:szCs w:val="24"/>
        </w:rPr>
      </w:pP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Summary: The analysis of viewer acquisition costs provided valuable insights into monthly fluctuations. Next steps involve finalizing trend visualizations and integrating viewership data to enhance marketing decisions.</w:t>
      </w:r>
      <w:r>
        <w:rPr>
          <w:rFonts w:hint="default" w:ascii="Times New Roman" w:hAnsi="Times New Roman" w:cs="Times New Roman"/>
          <w:b w:val="0"/>
          <w:sz w:val="24"/>
          <w:szCs w:val="24"/>
        </w:rPr>
        <w:br w:type="textWrapping"/>
      </w:r>
      <w:r>
        <w:rPr>
          <w:rFonts w:hint="default" w:ascii="Times New Roman" w:hAnsi="Times New Roman" w:cs="Times New Roman"/>
          <w:b w:val="0"/>
          <w:sz w:val="24"/>
          <w:szCs w:val="24"/>
        </w:rPr>
        <w:br w:type="textWrapping"/>
      </w:r>
      <w:r>
        <w:rPr>
          <w:rFonts w:hint="default" w:ascii="Times New Roman" w:hAnsi="Times New Roman" w:cs="Times New Roman"/>
          <w:b w:val="0"/>
          <w:sz w:val="11"/>
          <w:szCs w:val="11"/>
        </w:rPr>
        <w:t>●</w:t>
      </w:r>
      <w:r>
        <w:rPr>
          <w:rFonts w:hint="default" w:ascii="Times New Roman" w:hAnsi="Times New Roman" w:cs="Times New Roman"/>
          <w:b w:val="0"/>
          <w:sz w:val="24"/>
          <w:szCs w:val="24"/>
        </w:rPr>
        <w:t xml:space="preserve"> Acknowledgments: Thank you for your attention and consideration of this report.</w:t>
      </w:r>
    </w:p>
    <w:p>
      <w:pPr>
        <w:pStyle w:val="12"/>
        <w:numPr>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778355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2024-10-22T07:05:41Z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7F62F1A7C6374E7BB09719D6EB7420A8_13</vt:lpwstr>
  </property>
</Properties>
</file>