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5314" w:rsidRDefault="003A67F2">
      <w:pPr>
        <w:rPr>
          <w:rFonts w:ascii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  <w:noProof/>
          <w:color w:val="00000A"/>
          <w:sz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318ADAE">
                <wp:simplePos x="0" y="0"/>
                <wp:positionH relativeFrom="page">
                  <wp:posOffset>312420</wp:posOffset>
                </wp:positionH>
                <wp:positionV relativeFrom="page">
                  <wp:posOffset>663575</wp:posOffset>
                </wp:positionV>
                <wp:extent cx="7082155" cy="8809355"/>
                <wp:effectExtent l="0" t="0" r="23495" b="1079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55" cy="8809355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4.6pt;margin-top:52.25pt;width:557.65pt;height:693.6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" filled="f" strokecolor="#669" strokeweight=".26mm">
                <v:stroke joinstyle="round"/>
                <w10:wrap anchorx="page" anchory="page"/>
              </v:rect>
            </w:pict>
          </mc:Fallback>
        </mc:AlternateContent>
      </w:r>
    </w:p>
    <w:p w:rsidR="00AB5314" w:rsidRDefault="003A67F2">
      <w:r>
        <w:rPr>
          <w:noProof/>
          <w:lang w:val="en-JM" w:eastAsia="en-JM"/>
        </w:rPr>
        <mc:AlternateContent>
          <mc:Choice Requires="wps">
            <w:drawing>
              <wp:anchor distT="72390" distB="72390" distL="72390" distR="72390" simplePos="0" relativeHeight="4" behindDoc="0" locked="0" layoutInCell="1" allowOverlap="1" wp14:anchorId="5816C628">
                <wp:simplePos x="0" y="0"/>
                <wp:positionH relativeFrom="page">
                  <wp:posOffset>4122420</wp:posOffset>
                </wp:positionH>
                <wp:positionV relativeFrom="page">
                  <wp:posOffset>793115</wp:posOffset>
                </wp:positionV>
                <wp:extent cx="2846705" cy="1325245"/>
                <wp:effectExtent l="0" t="0" r="16510" b="21590"/>
                <wp:wrapTopAndBottom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160" cy="132444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B5314" w:rsidRDefault="003A67F2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From: D P Bennett &amp; Associates Limited</w:t>
                            </w: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Electrical and Software Engineering Consultants</w:t>
                            </w:r>
                          </w:p>
                          <w:p w:rsidR="00AB5314" w:rsidRDefault="00AB5314">
                            <w:pPr>
                              <w:pStyle w:val="CompanyName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To: The Bureau of Standards Jamaica</w:t>
                            </w: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 Winchester Road,</w:t>
                            </w: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Kingston 10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  Jamaica</w:t>
                            </w:r>
                            <w:proofErr w:type="gramEnd"/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666699" stroked="t" style="position:absolute;margin-left:324.6pt;margin-top:62.45pt;width:224.05pt;height:104.25pt;mso-position-horizontal-relative:page;mso-position-vertical-relative:page" wp14:anchorId="5816C628">
                <w10:wrap type="square"/>
                <v:fill o:detectmouseclick="t" type="solid" color2="#999966"/>
                <v:stroke color="#666699" weight="12600" joinstyle="miter" endcap="flat"/>
                <v:textbox>
                  <w:txbxContent>
                    <w:p>
                      <w:pPr>
                        <w:pStyle w:val="CompanyName"/>
                        <w:spacing w:before="72" w:after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  <w:t>From: D P Bennett &amp; Associates Limited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Electrical and Software Engineering Consultants</w:t>
                      </w:r>
                    </w:p>
                    <w:p>
                      <w:pPr>
                        <w:pStyle w:val="CompanyName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</w:rPr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To: The Bureau of Standards Jamaica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6 Winchester Road,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>Kingston 10,  Jamaica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JM" w:eastAsia="en-JM"/>
        </w:rPr>
        <mc:AlternateContent>
          <mc:Choice Requires="wps">
            <w:drawing>
              <wp:anchor distT="72390" distB="72390" distL="72390" distR="72390" simplePos="0" relativeHeight="6" behindDoc="0" locked="0" layoutInCell="1" allowOverlap="1" wp14:anchorId="5C6FDA90">
                <wp:simplePos x="0" y="0"/>
                <wp:positionH relativeFrom="page">
                  <wp:posOffset>495300</wp:posOffset>
                </wp:positionH>
                <wp:positionV relativeFrom="page">
                  <wp:posOffset>785495</wp:posOffset>
                </wp:positionV>
                <wp:extent cx="2846705" cy="1325245"/>
                <wp:effectExtent l="0" t="0" r="16510" b="21590"/>
                <wp:wrapTopAndBottom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160" cy="1324440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INVOICE</w:t>
                            </w: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000343</w:t>
                            </w:r>
                          </w:p>
                          <w:p w:rsidR="00AB5314" w:rsidRDefault="003A67F2">
                            <w:pPr>
                              <w:pStyle w:val="CompanyName"/>
                              <w:jc w:val="left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B5314" w:rsidRDefault="003A67F2">
                            <w:pPr>
                              <w:pStyle w:val="DocumentTitle"/>
                              <w:ind w:left="216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TRN: 001-784-544</w:t>
                            </w:r>
                          </w:p>
                          <w:p w:rsidR="00AB5314" w:rsidRDefault="003A67F2">
                            <w:pPr>
                              <w:pStyle w:val="DateLine"/>
                              <w:spacing w:before="115"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Issue date:  May 21, 2018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666699" stroked="t" style="position:absolute;margin-left:39pt;margin-top:61.85pt;width:224.05pt;height:104.25pt;mso-position-horizontal-relative:page;mso-position-vertical-relative:page" wp14:anchorId="5C6FDA90">
                <w10:wrap type="square"/>
                <v:fill o:detectmouseclick="t" type="solid" color2="#999966"/>
                <v:stroke color="#666699" weight="12600" joinstyle="miter" endcap="flat"/>
                <v:textbox>
                  <w:txbxContent>
                    <w:p>
                      <w:pPr>
                        <w:pStyle w:val="CompanyName"/>
                        <w:spacing w:before="72" w:after="0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INVOICE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# 00034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3</w:t>
                      </w:r>
                    </w:p>
                    <w:p>
                      <w:pPr>
                        <w:pStyle w:val="CompanyName"/>
                        <w:jc w:val="left"/>
                        <w:rPr/>
                      </w:pPr>
                      <w:r>
                        <w:rPr>
                          <w:rFonts w:cs="Times New Roman" w:ascii="Times New Roman" w:hAnsi="Times New Roman"/>
                        </w:rPr>
                        <w:t xml:space="preserve"> </w:t>
                      </w:r>
                    </w:p>
                    <w:p>
                      <w:pPr>
                        <w:pStyle w:val="DocumentTitle"/>
                        <w:ind w:left="216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TRN: 001-784-544</w:t>
                      </w:r>
                    </w:p>
                    <w:p>
                      <w:pPr>
                        <w:pStyle w:val="DateLine"/>
                        <w:spacing w:before="115" w:after="0"/>
                        <w:rPr/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 xml:space="preserve">Issue date:  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May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 xml:space="preserve"> 2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1</w:t>
                      </w: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, 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A"/>
          <w:sz w:val="24"/>
        </w:rPr>
        <w:t>To implement or update the Standards Compliance, Certification and Foods Inspectorate modules of the Job Management &amp; Tracking System (JMTS) as follows:</w:t>
      </w:r>
    </w:p>
    <w:tbl>
      <w:tblPr>
        <w:tblW w:w="10531" w:type="dxa"/>
        <w:tblInd w:w="-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8" w:type="dxa"/>
          <w:left w:w="-5" w:type="dxa"/>
          <w:bottom w:w="18" w:type="dxa"/>
          <w:right w:w="28" w:type="dxa"/>
        </w:tblCellMar>
        <w:tblLook w:val="0000" w:firstRow="0" w:lastRow="0" w:firstColumn="0" w:lastColumn="0" w:noHBand="0" w:noVBand="0"/>
      </w:tblPr>
      <w:tblGrid>
        <w:gridCol w:w="1259"/>
        <w:gridCol w:w="5217"/>
        <w:gridCol w:w="1350"/>
        <w:gridCol w:w="1438"/>
        <w:gridCol w:w="1267"/>
      </w:tblGrid>
      <w:tr w:rsidR="00AB5314">
        <w:trPr>
          <w:cantSplit/>
          <w:trHeight w:val="280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pStyle w:val="ColumnHead"/>
              <w:snapToGrid w:val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Cost Item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pStyle w:val="ColumnHead"/>
              <w:snapToGrid w:val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pStyle w:val="ColumnHead"/>
              <w:snapToGrid w:val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Hours (hrs.)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pStyle w:val="ColumnHead"/>
              <w:snapToGrid w:val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Rate ($/hr.)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pStyle w:val="ColumnHead"/>
              <w:snapToGrid w:val="0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Cost ($)</w:t>
            </w:r>
          </w:p>
        </w:tc>
      </w:tr>
      <w:tr w:rsidR="00AB5314">
        <w:trPr>
          <w:cantSplit/>
          <w:trHeight w:val="522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1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4432C3" w:rsidP="004432C3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4432C3">
              <w:rPr>
                <w:rFonts w:ascii="Times New Roman" w:hAnsi="Times New Roman" w:cs="Times New Roman"/>
                <w:color w:val="00000A"/>
                <w:sz w:val="24"/>
              </w:rPr>
              <w:t xml:space="preserve">Reactivate the existing features and implement email and popup alerts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in 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Standards Compliance module </w:t>
            </w:r>
            <w:r w:rsidRPr="004432C3">
              <w:rPr>
                <w:rFonts w:ascii="Times New Roman" w:hAnsi="Times New Roman" w:cs="Times New Roman"/>
                <w:color w:val="00000A"/>
                <w:sz w:val="24"/>
              </w:rPr>
              <w:t>for the Port of Entry Detenti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on and other processes 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>in accordance with the JMTS Inception Report</w:t>
            </w:r>
            <w:r w:rsidR="00BA1AA2">
              <w:rPr>
                <w:rFonts w:ascii="Times New Roman" w:hAnsi="Times New Roman" w:cs="Times New Roman"/>
                <w:color w:val="00000A"/>
                <w:sz w:val="24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C54015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</w:rPr>
              <w:t>20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3A67F2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C54015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50,000.00</w:t>
            </w:r>
          </w:p>
        </w:tc>
      </w:tr>
      <w:tr w:rsidR="00AB5314" w:rsidTr="00DF2254">
        <w:trPr>
          <w:cantSplit/>
          <w:trHeight w:val="800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2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DF2254" w:rsidP="003A67F2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I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 xml:space="preserve">mplementation of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the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 xml:space="preserve"> 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ertification module. The three key features in the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 xml:space="preserve">JMTS Inception Report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have not yet been implemented due to the time spent implementing other modules on which this module depend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>s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BA1AA2">
            <w:pPr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6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3A67F2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C54015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15,000.00</w:t>
            </w:r>
          </w:p>
        </w:tc>
      </w:tr>
      <w:tr w:rsidR="00AB5314">
        <w:trPr>
          <w:cantSplit/>
          <w:trHeight w:val="522"/>
        </w:trPr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3</w:t>
            </w:r>
          </w:p>
        </w:tc>
        <w:tc>
          <w:tcPr>
            <w:tcW w:w="52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0F7105" w:rsidP="000F7105">
            <w:pPr>
              <w:snapToGrid w:val="0"/>
              <w:spacing w:after="0"/>
              <w:ind w:left="86"/>
              <w:rPr>
                <w:rFonts w:ascii="Times New Roman" w:hAnsi="Times New Roman" w:cs="Times New Roman"/>
                <w:color w:val="00000A"/>
                <w:sz w:val="24"/>
              </w:rPr>
            </w:pPr>
            <w:r w:rsidRPr="000F7105">
              <w:rPr>
                <w:rFonts w:ascii="Times New Roman" w:hAnsi="Times New Roman" w:cs="Times New Roman"/>
                <w:color w:val="00000A"/>
                <w:sz w:val="24"/>
              </w:rPr>
              <w:t xml:space="preserve">Reactivate the existing features and implement email and popup alerts for the factory registration and other processes 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 xml:space="preserve">in accordance with the JMTS Inception report </w:t>
            </w:r>
            <w:r>
              <w:rPr>
                <w:rFonts w:ascii="Times New Roman" w:hAnsi="Times New Roman" w:cs="Times New Roman"/>
                <w:color w:val="00000A"/>
                <w:sz w:val="24"/>
              </w:rPr>
              <w:t>dated March 26, 2018.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C54015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A"/>
                <w:sz w:val="24"/>
              </w:rPr>
              <w:t>40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3A67F2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2,500.00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5314" w:rsidRDefault="00C54015">
            <w:pPr>
              <w:snapToGrid w:val="0"/>
              <w:spacing w:before="120" w:after="0"/>
              <w:ind w:right="9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</w:rPr>
              <w:t>10</w:t>
            </w:r>
            <w:r w:rsidR="003A67F2">
              <w:rPr>
                <w:rFonts w:ascii="Times New Roman" w:hAnsi="Times New Roman" w:cs="Times New Roman"/>
                <w:color w:val="00000A"/>
                <w:sz w:val="24"/>
              </w:rPr>
              <w:t>0,000.00</w:t>
            </w:r>
          </w:p>
        </w:tc>
      </w:tr>
      <w:tr w:rsidR="00AB5314">
        <w:trPr>
          <w:cantSplit/>
          <w:trHeight w:val="450"/>
        </w:trPr>
        <w:tc>
          <w:tcPr>
            <w:tcW w:w="64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right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 xml:space="preserve">TOTALS:  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66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-</w:t>
            </w:r>
          </w:p>
        </w:tc>
        <w:tc>
          <w:tcPr>
            <w:tcW w:w="1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5314" w:rsidRDefault="003A67F2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A"/>
                <w:sz w:val="24"/>
              </w:rPr>
              <w:t>165,000.00</w:t>
            </w:r>
          </w:p>
        </w:tc>
      </w:tr>
    </w:tbl>
    <w:p w:rsidR="00AB5314" w:rsidRDefault="00AB5314">
      <w:pPr>
        <w:pStyle w:val="Notes"/>
        <w:rPr>
          <w:rFonts w:ascii="Times New Roman" w:hAnsi="Times New Roman" w:cs="Times New Roman"/>
          <w:b/>
          <w:color w:val="00000A"/>
          <w:sz w:val="24"/>
        </w:rPr>
      </w:pPr>
    </w:p>
    <w:p w:rsidR="00AB5314" w:rsidRDefault="003A67F2">
      <w:pPr>
        <w:pStyle w:val="Notes"/>
        <w:rPr>
          <w:rFonts w:ascii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  <w:b/>
          <w:color w:val="00000A"/>
          <w:sz w:val="24"/>
        </w:rPr>
        <w:t xml:space="preserve">This invoice is valid for fourteen (14) days from the date issued. </w:t>
      </w:r>
    </w:p>
    <w:p w:rsidR="00AB5314" w:rsidRDefault="00AB5314">
      <w:pPr>
        <w:pStyle w:val="Notes"/>
        <w:rPr>
          <w:rFonts w:ascii="Times New Roman" w:hAnsi="Times New Roman" w:cs="Times New Roman"/>
          <w:color w:val="00000A"/>
          <w:sz w:val="24"/>
        </w:rPr>
      </w:pPr>
    </w:p>
    <w:p w:rsidR="00AB5314" w:rsidRDefault="003A67F2">
      <w:pPr>
        <w:pStyle w:val="Notes"/>
        <w:rPr>
          <w:rFonts w:ascii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  <w:color w:val="00000A"/>
          <w:sz w:val="24"/>
        </w:rPr>
        <w:t xml:space="preserve">If you have any questions concerning this invoice, please call:  (876) 289-1644 or send an email to </w:t>
      </w:r>
      <w:bookmarkStart w:id="1" w:name="__DdeLink__160_1674624459"/>
      <w:r>
        <w:rPr>
          <w:rFonts w:ascii="Times New Roman" w:hAnsi="Times New Roman" w:cs="Times New Roman"/>
          <w:color w:val="00000A"/>
          <w:sz w:val="24"/>
        </w:rPr>
        <w:t>info@dpbennett.com.jm</w:t>
      </w:r>
      <w:bookmarkEnd w:id="1"/>
      <w:r>
        <w:rPr>
          <w:rFonts w:ascii="Times New Roman" w:hAnsi="Times New Roman" w:cs="Times New Roman"/>
          <w:color w:val="00000A"/>
          <w:sz w:val="24"/>
        </w:rPr>
        <w:t>.</w:t>
      </w:r>
    </w:p>
    <w:p w:rsidR="00AB5314" w:rsidRDefault="00AB5314">
      <w:pPr>
        <w:pStyle w:val="Notes"/>
        <w:rPr>
          <w:rFonts w:ascii="Times New Roman" w:hAnsi="Times New Roman" w:cs="Times New Roman"/>
          <w:color w:val="00000A"/>
          <w:sz w:val="24"/>
        </w:rPr>
      </w:pPr>
    </w:p>
    <w:p w:rsidR="00AB5314" w:rsidRDefault="003A67F2">
      <w:pPr>
        <w:pStyle w:val="Notes"/>
        <w:rPr>
          <w:rFonts w:ascii="Times New Roman" w:hAnsi="Times New Roman" w:cs="Times New Roman"/>
          <w:color w:val="00000A"/>
          <w:sz w:val="24"/>
        </w:rPr>
      </w:pPr>
      <w:r>
        <w:rPr>
          <w:rFonts w:ascii="Times New Roman" w:hAnsi="Times New Roman" w:cs="Times New Roman"/>
          <w:color w:val="00000A"/>
          <w:sz w:val="24"/>
        </w:rPr>
        <w:t>THANK YOU FOR YOUR BUSINESS!</w:t>
      </w:r>
    </w:p>
    <w:p w:rsidR="00AB5314" w:rsidRDefault="00AB5314">
      <w:pPr>
        <w:pStyle w:val="Text"/>
        <w:rPr>
          <w:rFonts w:ascii="Times New Roman" w:hAnsi="Times New Roman" w:cs="Times New Roman"/>
          <w:color w:val="00000A"/>
          <w:sz w:val="24"/>
        </w:rPr>
      </w:pPr>
    </w:p>
    <w:p w:rsidR="00AB5314" w:rsidRDefault="003A67F2">
      <w:pPr>
        <w:pStyle w:val="Text"/>
        <w:rPr>
          <w:rFonts w:ascii="Times New Roman" w:hAnsi="Times New Roman" w:cs="Times New Roman"/>
          <w:color w:val="00000A"/>
          <w:sz w:val="24"/>
        </w:rPr>
      </w:pPr>
      <w:r>
        <w:rPr>
          <w:noProof/>
          <w:lang w:val="en-JM" w:eastAsia="en-JM"/>
        </w:rPr>
        <w:drawing>
          <wp:anchor distT="0" distB="1905" distL="0" distR="6985" simplePos="0" relativeHeight="5" behindDoc="0" locked="0" layoutInCell="1" allowOverlap="1" wp14:anchorId="33E8D507" wp14:editId="064143DD">
            <wp:simplePos x="0" y="0"/>
            <wp:positionH relativeFrom="column">
              <wp:posOffset>3810</wp:posOffset>
            </wp:positionH>
            <wp:positionV relativeFrom="paragraph">
              <wp:posOffset>226060</wp:posOffset>
            </wp:positionV>
            <wp:extent cx="1136015" cy="169545"/>
            <wp:effectExtent l="0" t="0" r="0" b="0"/>
            <wp:wrapNone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A"/>
          <w:sz w:val="24"/>
        </w:rPr>
        <w:t>Desmond P. Bennett</w:t>
      </w:r>
    </w:p>
    <w:p w:rsidR="004A5DA4" w:rsidRDefault="004A5DA4">
      <w:pPr>
        <w:pStyle w:val="Text"/>
        <w:spacing w:before="115" w:after="0"/>
        <w:rPr>
          <w:rFonts w:ascii="Times New Roman" w:hAnsi="Times New Roman" w:cs="Times New Roman"/>
          <w:color w:val="00000A"/>
          <w:sz w:val="24"/>
        </w:rPr>
      </w:pPr>
      <w:r>
        <w:rPr>
          <w:noProof/>
          <w:lang w:val="en-JM" w:eastAsia="en-JM"/>
        </w:rPr>
        <mc:AlternateContent>
          <mc:Choice Requires="wps">
            <w:drawing>
              <wp:anchor distT="72390" distB="72390" distL="72390" distR="72390" simplePos="0" relativeHeight="3" behindDoc="0" locked="0" layoutInCell="1" allowOverlap="1" wp14:anchorId="028657D5" wp14:editId="76E4405F">
                <wp:simplePos x="0" y="0"/>
                <wp:positionH relativeFrom="column">
                  <wp:posOffset>3044825</wp:posOffset>
                </wp:positionH>
                <wp:positionV relativeFrom="paragraph">
                  <wp:posOffset>803275</wp:posOffset>
                </wp:positionV>
                <wp:extent cx="3764280" cy="450215"/>
                <wp:effectExtent l="0" t="0" r="26670" b="26035"/>
                <wp:wrapTopAndBottom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450215"/>
                        </a:xfrm>
                        <a:prstGeom prst="rect">
                          <a:avLst/>
                        </a:prstGeom>
                        <a:solidFill>
                          <a:srgbClr val="666699"/>
                        </a:solidFill>
                        <a:ln w="12600">
                          <a:solidFill>
                            <a:srgbClr val="66669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B5314" w:rsidRDefault="003A67F2">
                            <w:pPr>
                              <w:pStyle w:val="CompanyInfo"/>
                            </w:pPr>
                            <w:proofErr w:type="gramStart"/>
                            <w:r>
                              <w:t xml:space="preserve">35 Dorado Drive, Kingston </w:t>
                            </w:r>
                            <w:r>
                              <w:t>17, Jamaica.</w:t>
                            </w:r>
                            <w:proofErr w:type="gramEnd"/>
                          </w:p>
                          <w:p w:rsidR="00AB5314" w:rsidRDefault="003A67F2">
                            <w:pPr>
                              <w:pStyle w:val="CompanyInfo"/>
                              <w:spacing w:before="43" w:after="115"/>
                            </w:pPr>
                            <w:r>
                              <w:t>Tel: (876) 289-1644, E-mail: info@dpbennett.com.jm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28" style="position:absolute;margin-left:239.75pt;margin-top:63.25pt;width:296.4pt;height:35.45pt;z-index:3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" fillcolor="#669" strokecolor="#669" strokeweight=".35mm">
                <v:textbox inset="3.6pt,,3.6pt">
                  <w:txbxContent>
                    <w:p w:rsidR="00AB5314" w:rsidRDefault="003A67F2">
                      <w:pPr>
                        <w:pStyle w:val="CompanyInfo"/>
                      </w:pPr>
                      <w:proofErr w:type="gramStart"/>
                      <w:r>
                        <w:t xml:space="preserve">35 Dorado Drive, Kingston </w:t>
                      </w:r>
                      <w:r>
                        <w:t>17, Jamaica.</w:t>
                      </w:r>
                      <w:proofErr w:type="gramEnd"/>
                    </w:p>
                    <w:p w:rsidR="00AB5314" w:rsidRDefault="003A67F2">
                      <w:pPr>
                        <w:pStyle w:val="CompanyInfo"/>
                        <w:spacing w:before="43" w:after="115"/>
                      </w:pPr>
                      <w:r>
                        <w:t>Tel: (876) 289-1644, E-mail: info@dpbennett.com.jm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A67F2">
        <w:rPr>
          <w:rFonts w:ascii="Times New Roman" w:hAnsi="Times New Roman" w:cs="Times New Roman"/>
          <w:color w:val="00000A"/>
          <w:sz w:val="24"/>
        </w:rPr>
        <w:t>----------------------------</w:t>
      </w:r>
    </w:p>
    <w:p w:rsidR="00AB5314" w:rsidRDefault="003A67F2">
      <w:pPr>
        <w:pStyle w:val="Text"/>
        <w:spacing w:before="115" w:after="0"/>
      </w:pPr>
      <w:r>
        <w:rPr>
          <w:rFonts w:ascii="Times New Roman" w:hAnsi="Times New Roman" w:cs="Times New Roman"/>
          <w:color w:val="00000A"/>
          <w:sz w:val="24"/>
        </w:rPr>
        <w:t xml:space="preserve">Managing Director </w:t>
      </w:r>
    </w:p>
    <w:sectPr w:rsidR="00AB5314">
      <w:pgSz w:w="12240" w:h="15840"/>
      <w:pgMar w:top="720" w:right="720" w:bottom="720" w:left="720" w:header="0" w:footer="0" w:gutter="0"/>
      <w:cols w:space="720"/>
      <w:formProt w:val="0"/>
      <w:docGrid w:linePitch="360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ga">
    <w:altName w:val="Times New Roman"/>
    <w:charset w:val="01"/>
    <w:family w:val="roman"/>
    <w:pitch w:val="default"/>
  </w:font>
  <w:font w:name="Abadi MT Condensed Light">
    <w:altName w:val="Times New Roman"/>
    <w:charset w:val="01"/>
    <w:family w:val="roman"/>
    <w:pitch w:val="default"/>
  </w:font>
  <w:font w:name="Eurostile"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14"/>
    <w:rsid w:val="000F7105"/>
    <w:rsid w:val="003A67F2"/>
    <w:rsid w:val="004432C3"/>
    <w:rsid w:val="004A5DA4"/>
    <w:rsid w:val="00AB5314"/>
    <w:rsid w:val="00BA1AA2"/>
    <w:rsid w:val="00C54015"/>
    <w:rsid w:val="00DF2254"/>
    <w:rsid w:val="00F9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403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115" w:after="115"/>
    </w:pPr>
    <w:rPr>
      <w:rFonts w:ascii="Arial" w:eastAsia="Nimbus Sans L" w:hAnsi="Arial" w:cs="Arial"/>
      <w:color w:val="008080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DefaultParagraphFont11">
    <w:name w:val="WW-Default Paragraph Font11"/>
    <w:qFormat/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WW-DefaultParagraphFont111">
    <w:name w:val="WW-Default Paragraph Font111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sz w:val="32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Text">
    <w:name w:val="Text"/>
    <w:basedOn w:val="Normal"/>
    <w:qFormat/>
    <w:pPr>
      <w:widowControl w:val="0"/>
      <w:spacing w:before="0" w:after="200"/>
    </w:pPr>
    <w:rPr>
      <w:color w:val="000000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CompanyInfo">
    <w:name w:val="Company Info"/>
    <w:basedOn w:val="Normal"/>
    <w:qFormat/>
    <w:pPr>
      <w:spacing w:before="72" w:after="0"/>
      <w:ind w:left="216"/>
    </w:pPr>
    <w:rPr>
      <w:rFonts w:ascii="Conga" w:hAnsi="Conga" w:cs="Conga"/>
      <w:color w:val="FFFFFF"/>
      <w:sz w:val="14"/>
    </w:rPr>
  </w:style>
  <w:style w:type="paragraph" w:customStyle="1" w:styleId="ClosingText">
    <w:name w:val="Closing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DateText">
    <w:name w:val="Date Text"/>
    <w:basedOn w:val="Normal"/>
    <w:qFormat/>
    <w:pPr>
      <w:spacing w:before="0" w:after="720"/>
    </w:pPr>
    <w:rPr>
      <w:rFonts w:ascii="Abadi MT Condensed Light" w:hAnsi="Abadi MT Condensed Light" w:cs="Abadi MT Condensed Light"/>
      <w:sz w:val="22"/>
    </w:rPr>
  </w:style>
  <w:style w:type="paragraph" w:customStyle="1" w:styleId="CompanyName">
    <w:name w:val="Company Name"/>
    <w:basedOn w:val="CompanyInfo"/>
    <w:qFormat/>
    <w:pPr>
      <w:jc w:val="center"/>
    </w:pPr>
    <w:rPr>
      <w:sz w:val="20"/>
    </w:rPr>
  </w:style>
  <w:style w:type="paragraph" w:customStyle="1" w:styleId="CellText">
    <w:name w:val="Cell Text"/>
    <w:basedOn w:val="Normal"/>
    <w:qFormat/>
    <w:pPr>
      <w:widowControl w:val="0"/>
      <w:shd w:val="clear" w:color="auto" w:fill="FFFFFF"/>
      <w:ind w:right="180"/>
    </w:pPr>
    <w:rPr>
      <w:rFonts w:ascii="Abadi MT Condensed Light" w:hAnsi="Abadi MT Condensed Light" w:cs="Abadi MT Condensed Light"/>
      <w:i/>
      <w:color w:val="808080"/>
    </w:rPr>
  </w:style>
  <w:style w:type="paragraph" w:customStyle="1" w:styleId="DocumentTitle">
    <w:name w:val="Document Title"/>
    <w:basedOn w:val="Normal"/>
    <w:qFormat/>
    <w:pPr>
      <w:spacing w:before="43" w:after="43"/>
    </w:pPr>
    <w:rPr>
      <w:rFonts w:ascii="Conga" w:hAnsi="Conga" w:cs="Conga"/>
      <w:color w:val="FFFFFF"/>
      <w:sz w:val="40"/>
    </w:rPr>
  </w:style>
  <w:style w:type="paragraph" w:customStyle="1" w:styleId="ColumnHead">
    <w:name w:val="Column Head"/>
    <w:basedOn w:val="Normal"/>
    <w:qFormat/>
    <w:pPr>
      <w:spacing w:before="29" w:after="0"/>
      <w:jc w:val="center"/>
    </w:pPr>
    <w:rPr>
      <w:color w:val="000000"/>
      <w:sz w:val="18"/>
    </w:rPr>
  </w:style>
  <w:style w:type="paragraph" w:customStyle="1" w:styleId="CellText2">
    <w:name w:val="Cell Text 2"/>
    <w:basedOn w:val="Normal"/>
    <w:qFormat/>
    <w:pPr>
      <w:spacing w:before="120" w:after="120"/>
      <w:ind w:right="144"/>
      <w:jc w:val="right"/>
    </w:pPr>
    <w:rPr>
      <w:color w:val="000000"/>
      <w:sz w:val="18"/>
    </w:rPr>
  </w:style>
  <w:style w:type="paragraph" w:customStyle="1" w:styleId="NumberedCellText">
    <w:name w:val="Numbered Cell Text"/>
    <w:basedOn w:val="Normal"/>
    <w:qFormat/>
    <w:pPr>
      <w:ind w:left="540" w:right="360" w:firstLine="1"/>
    </w:pPr>
    <w:rPr>
      <w:rFonts w:ascii="Eurostile" w:hAnsi="Eurostile" w:cs="Eurostile"/>
      <w:color w:val="808080"/>
      <w:sz w:val="16"/>
    </w:rPr>
  </w:style>
  <w:style w:type="paragraph" w:customStyle="1" w:styleId="DateLine">
    <w:name w:val="Date Line"/>
    <w:basedOn w:val="CompanyName"/>
    <w:qFormat/>
    <w:pPr>
      <w:spacing w:before="14" w:after="14"/>
      <w:jc w:val="left"/>
    </w:pPr>
    <w:rPr>
      <w:sz w:val="18"/>
    </w:rPr>
  </w:style>
  <w:style w:type="paragraph" w:customStyle="1" w:styleId="Notes">
    <w:name w:val="Notes"/>
    <w:basedOn w:val="Normal"/>
    <w:qFormat/>
    <w:pPr>
      <w:widowControl w:val="0"/>
      <w:shd w:val="clear" w:color="auto" w:fill="FFFFFF"/>
      <w:spacing w:before="0" w:after="0"/>
      <w:ind w:right="180"/>
    </w:pPr>
    <w:rPr>
      <w:color w:val="808080"/>
      <w:sz w:val="16"/>
    </w:rPr>
  </w:style>
  <w:style w:type="paragraph" w:customStyle="1" w:styleId="AddressText">
    <w:name w:val="Address Text"/>
    <w:basedOn w:val="Normal"/>
    <w:qFormat/>
    <w:pPr>
      <w:spacing w:before="58"/>
    </w:pPr>
    <w:rPr>
      <w:color w:val="00000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40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179</Words>
  <Characters>1026</Characters>
  <Application>Microsoft Office Word</Application>
  <DocSecurity>0</DocSecurity>
  <Lines>8</Lines>
  <Paragraphs>2</Paragraphs>
  <ScaleCrop>false</ScaleCrop>
  <Company>?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Bennett</dc:creator>
  <dc:description/>
  <cp:lastModifiedBy>Desmond Bennett</cp:lastModifiedBy>
  <cp:revision>68</cp:revision>
  <cp:lastPrinted>2018-04-23T15:35:00Z</cp:lastPrinted>
  <dcterms:created xsi:type="dcterms:W3CDTF">2016-08-19T13:43:00Z</dcterms:created>
  <dcterms:modified xsi:type="dcterms:W3CDTF">2018-05-21T17:07:00Z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?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