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9.odttf" ContentType="application/vnd.openxmlformats-officedocument.obfuscatedFont"/>
  <Override PartName="/word/fonts/font8.odttf" ContentType="application/vnd.openxmlformats-officedocument.obfuscatedFont"/>
  <Override PartName="/word/fonts/font7.odttf" ContentType="application/vnd.openxmlformats-officedocument.obfuscatedFont"/>
  <Override PartName="/word/fonts/font2.odttf" ContentType="application/vnd.openxmlformats-officedocument.obfuscatedFont"/>
  <Override PartName="/word/fonts/font10.odttf" ContentType="application/vnd.openxmlformats-officedocument.obfuscatedFont"/>
  <Override PartName="/word/fonts/font1.odttf" ContentType="application/vnd.openxmlformats-officedocument.obfuscatedFont"/>
  <Override PartName="/word/fonts/font6.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nivers" w:hAnsi="Univers" w:cs="Univers"/>
          <w:u w:val="single"/>
        </w:rPr>
      </w:pPr>
      <w:r>
        <w:rPr>
          <w:rFonts w:cs="Univers" w:ascii="Univers" w:hAnsi="Univers"/>
          <w:u w:val="single"/>
        </w:rPr>
      </w:r>
    </w:p>
    <w:p>
      <w:pPr>
        <w:pStyle w:val="Typeofreport"/>
        <w:spacing w:before="240" w:after="0"/>
        <w:rPr/>
      </w:pPr>
      <w:r>
        <w:rPr/>
        <w:t>Inception Report</w:t>
      </w:r>
    </w:p>
    <w:p>
      <w:pPr>
        <w:pStyle w:val="Normal"/>
        <w:jc w:val="center"/>
        <w:rPr/>
      </w:pPr>
      <w:r>
        <w:rPr>
          <w:rFonts w:cs="Arial" w:ascii="Arial" w:hAnsi="Arial"/>
          <w:b/>
          <w:sz w:val="28"/>
        </w:rPr>
        <w:t>Upgrading of the Job Management &amp; Tracking System (JMTS)</w:t>
      </w:r>
    </w:p>
    <w:p>
      <w:pPr>
        <w:pStyle w:val="Itemtitle"/>
        <w:rPr/>
      </w:pPr>
      <w:r>
        <w:rPr/>
      </w:r>
    </w:p>
    <w:p>
      <w:pPr>
        <w:pStyle w:val="Itemtitle"/>
        <w:rPr/>
      </w:pPr>
      <w:r>
        <w:rPr>
          <w:sz w:val="24"/>
          <w:szCs w:val="24"/>
        </w:rPr>
        <w:t>March 26, 2018</w:t>
      </w:r>
    </w:p>
    <w:p>
      <w:pPr>
        <w:pStyle w:val="Titleitems"/>
        <w:rPr/>
      </w:pPr>
      <w:r>
        <w:rPr/>
        <w:t>Prepared by</w:t>
      </w:r>
    </w:p>
    <w:p>
      <w:pPr>
        <w:pStyle w:val="Nameofproject"/>
        <w:spacing w:before="0" w:after="0"/>
        <w:rPr>
          <w:sz w:val="28"/>
          <w:szCs w:val="28"/>
        </w:rPr>
      </w:pPr>
      <w:r>
        <w:rPr>
          <w:sz w:val="28"/>
          <w:szCs w:val="28"/>
        </w:rPr>
        <w:t>Desmond Bennett</w:t>
      </w:r>
    </w:p>
    <w:p>
      <w:pPr>
        <w:pStyle w:val="Titleitems"/>
        <w:rPr/>
      </w:pPr>
      <w:r>
        <w:rPr/>
      </w:r>
      <w:r>
        <w:br w:type="page"/>
      </w:r>
    </w:p>
    <w:p>
      <w:pPr>
        <w:pStyle w:val="Normal"/>
        <w:numPr>
          <w:ilvl w:val="0"/>
          <w:numId w:val="1"/>
        </w:numPr>
        <w:jc w:val="both"/>
        <w:rPr>
          <w:b/>
          <w:b/>
        </w:rPr>
      </w:pPr>
      <w:r>
        <w:rPr>
          <w:b/>
        </w:rPr>
        <w:t>Executive summary</w:t>
      </w:r>
    </w:p>
    <w:p>
      <w:pPr>
        <w:pStyle w:val="Normal"/>
        <w:jc w:val="both"/>
        <w:rPr/>
      </w:pPr>
      <w:r>
        <w:rPr/>
      </w:r>
    </w:p>
    <w:p>
      <w:pPr>
        <w:pStyle w:val="Normal"/>
        <w:jc w:val="both"/>
        <w:rPr/>
      </w:pPr>
      <w:r>
        <w:rPr/>
        <w:t xml:space="preserve">This report </w:t>
      </w:r>
      <w:r>
        <w:rPr/>
        <w:t>documents the scope of work and outlines a work plan</w:t>
      </w:r>
      <w:r>
        <w:rPr/>
        <w:t xml:space="preserve"> as it relates to the Job Management &amp; Tracking System (JMTS) </w:t>
      </w:r>
      <w:r>
        <w:rPr/>
        <w:t>software update and upgrade</w:t>
      </w:r>
      <w:r>
        <w:rPr/>
        <w:t xml:space="preserve">. The main activities </w:t>
      </w:r>
      <w:r>
        <w:rPr/>
        <w:t xml:space="preserve">undertaken in the effort to produce this report </w:t>
      </w:r>
      <w:r>
        <w:rPr/>
        <w:t xml:space="preserve">include the liaising with </w:t>
      </w:r>
      <w:r>
        <w:rPr/>
        <w:t>personnel</w:t>
      </w:r>
      <w:r>
        <w:rPr/>
        <w:t xml:space="preserve"> of the Bureau of Standards Jamaica (BSJ), the National Compliance Regulatory Authority (NCRA) </w:t>
      </w:r>
      <w:r>
        <w:rPr/>
        <w:t>and the National Certification Body of Jamaica (NCBJ)</w:t>
      </w:r>
      <w:r>
        <w:rPr/>
        <w:t xml:space="preserve">. </w:t>
      </w:r>
      <w:r>
        <w:rPr/>
        <w:t>Standard Operating Procedures (SOPs) and audited reports were also reviewed over the past month and a half.</w:t>
      </w:r>
    </w:p>
    <w:p>
      <w:pPr>
        <w:pStyle w:val="Normal"/>
        <w:jc w:val="both"/>
        <w:rPr/>
      </w:pPr>
      <w:r>
        <w:rPr/>
        <w:t xml:space="preserve">       </w:t>
      </w:r>
    </w:p>
    <w:p>
      <w:pPr>
        <w:pStyle w:val="Normal"/>
        <w:numPr>
          <w:ilvl w:val="0"/>
          <w:numId w:val="1"/>
        </w:numPr>
        <w:jc w:val="both"/>
        <w:rPr/>
      </w:pPr>
      <w:r>
        <w:rPr>
          <w:b/>
        </w:rPr>
        <w:t>Needs Assessment</w:t>
      </w:r>
    </w:p>
    <w:p>
      <w:pPr>
        <w:pStyle w:val="Normal"/>
        <w:jc w:val="both"/>
        <w:rPr/>
      </w:pPr>
      <w:r>
        <w:rPr/>
      </w:r>
    </w:p>
    <w:p>
      <w:pPr>
        <w:pStyle w:val="Normal"/>
        <w:jc w:val="both"/>
        <w:rPr/>
      </w:pPr>
      <w:r>
        <w:rPr/>
        <w:t xml:space="preserve">A needs assessment was first conducted by meeting with the representatives from the follow entities; </w:t>
      </w:r>
    </w:p>
    <w:p>
      <w:pPr>
        <w:pStyle w:val="Normal"/>
        <w:jc w:val="both"/>
        <w:rPr/>
      </w:pPr>
      <w:r>
        <w:rPr/>
      </w:r>
    </w:p>
    <w:p>
      <w:pPr>
        <w:pStyle w:val="Normal"/>
        <w:numPr>
          <w:ilvl w:val="0"/>
          <w:numId w:val="2"/>
        </w:numPr>
        <w:jc w:val="both"/>
        <w:rPr/>
      </w:pPr>
      <w:r>
        <w:rPr/>
        <w:t>Engineering Division, Science and Technology Division, Finance Division, Marketing and Customer Services Department, Standards Division and the Industrial Training Unit (ITU), Legal Department and Corporate Office of the BSJ</w:t>
      </w:r>
    </w:p>
    <w:p>
      <w:pPr>
        <w:pStyle w:val="Normal"/>
        <w:numPr>
          <w:ilvl w:val="0"/>
          <w:numId w:val="2"/>
        </w:numPr>
        <w:jc w:val="both"/>
        <w:rPr/>
      </w:pPr>
      <w:r>
        <w:rPr/>
        <w:t>Personnel of the NCBJ</w:t>
      </w:r>
    </w:p>
    <w:p>
      <w:pPr>
        <w:pStyle w:val="Normal"/>
        <w:numPr>
          <w:ilvl w:val="0"/>
          <w:numId w:val="2"/>
        </w:numPr>
        <w:jc w:val="both"/>
        <w:rPr/>
      </w:pPr>
      <w:r>
        <w:rPr/>
        <w:t>Compliance and Construction, Foods Inspectorate and Legal Metrology departments of the NCRA</w:t>
      </w:r>
    </w:p>
    <w:p>
      <w:pPr>
        <w:pStyle w:val="Normal"/>
        <w:jc w:val="both"/>
        <w:rPr/>
      </w:pPr>
      <w:r>
        <w:rPr/>
      </w:r>
    </w:p>
    <w:p>
      <w:pPr>
        <w:pStyle w:val="Normal"/>
        <w:jc w:val="both"/>
        <w:rPr/>
      </w:pPr>
      <w:r>
        <w:rPr/>
      </w:r>
    </w:p>
    <w:p>
      <w:pPr>
        <w:pStyle w:val="Normal"/>
        <w:numPr>
          <w:ilvl w:val="0"/>
          <w:numId w:val="1"/>
        </w:numPr>
        <w:jc w:val="both"/>
        <w:rPr>
          <w:b/>
          <w:b/>
        </w:rPr>
      </w:pPr>
      <w:r>
        <w:rPr>
          <w:b/>
        </w:rPr>
        <w:t>Scope of Work</w:t>
      </w:r>
    </w:p>
    <w:p>
      <w:pPr>
        <w:pStyle w:val="Normal"/>
        <w:jc w:val="both"/>
        <w:rPr/>
      </w:pPr>
      <w:r>
        <w:rPr/>
      </w:r>
    </w:p>
    <w:p>
      <w:pPr>
        <w:pStyle w:val="Normal"/>
        <w:jc w:val="both"/>
        <w:rPr/>
      </w:pPr>
      <w:r>
        <w:rPr/>
        <w:t>{mention dealing with help desk and other issues during mobilization period.</w:t>
      </w:r>
    </w:p>
    <w:p>
      <w:pPr>
        <w:pStyle w:val="Normal"/>
        <w:jc w:val="both"/>
        <w:rPr/>
      </w:pPr>
      <w:r>
        <w:rPr/>
      </w:r>
    </w:p>
    <w:p>
      <w:pPr>
        <w:pStyle w:val="Normal"/>
        <w:ind w:left="360" w:hanging="0"/>
        <w:jc w:val="both"/>
        <w:rPr>
          <w:b/>
          <w:b/>
        </w:rPr>
      </w:pPr>
      <w:r>
        <w:rPr>
          <w:b/>
        </w:rPr>
      </w:r>
    </w:p>
    <w:p>
      <w:pPr>
        <w:pStyle w:val="Normal"/>
        <w:numPr>
          <w:ilvl w:val="0"/>
          <w:numId w:val="1"/>
        </w:numPr>
        <w:jc w:val="both"/>
        <w:rPr>
          <w:b/>
          <w:b/>
        </w:rPr>
      </w:pPr>
      <w:r>
        <w:rPr>
          <w:b/>
        </w:rPr>
        <w:t xml:space="preserve">Work Plan </w:t>
      </w:r>
    </w:p>
    <w:p>
      <w:pPr>
        <w:pStyle w:val="Normal"/>
        <w:jc w:val="both"/>
        <w:rPr>
          <w:b/>
          <w:b/>
        </w:rPr>
      </w:pPr>
      <w:r>
        <w:rPr>
          <w:b/>
        </w:rPr>
      </w:r>
    </w:p>
    <w:p>
      <w:pPr>
        <w:pStyle w:val="Normal"/>
        <w:jc w:val="both"/>
        <w:rPr/>
      </w:pPr>
      <w:r>
        <w:rPr/>
        <w:t xml:space="preserve">Please start with a few lines of general description of the project background. </w:t>
      </w:r>
    </w:p>
    <w:p>
      <w:pPr>
        <w:pStyle w:val="Normal"/>
        <w:jc w:val="both"/>
        <w:rPr/>
      </w:pPr>
      <w:r>
        <w:rPr/>
        <w:t>{insert monthly schedule...see MIS work plan}</w:t>
      </w:r>
    </w:p>
    <w:p>
      <w:pPr>
        <w:pStyle w:val="Normal"/>
        <w:jc w:val="both"/>
        <w:rPr/>
      </w:pPr>
      <w:r>
        <w:rPr/>
        <w:t>{mention reporting schedule}</w:t>
      </w:r>
    </w:p>
    <w:p>
      <w:pPr>
        <w:pStyle w:val="Normal"/>
        <w:ind w:left="360" w:hanging="0"/>
        <w:jc w:val="both"/>
        <w:rPr/>
      </w:pPr>
      <w:r>
        <w:rPr/>
      </w:r>
    </w:p>
    <w:p>
      <w:pPr>
        <w:pStyle w:val="Normal"/>
        <w:jc w:val="both"/>
        <w:rPr>
          <w:b/>
          <w:b/>
        </w:rPr>
      </w:pPr>
      <w:r>
        <w:rPr>
          <w:b/>
        </w:rPr>
      </w:r>
    </w:p>
    <w:p>
      <w:pPr>
        <w:pStyle w:val="Normal"/>
        <w:rPr/>
      </w:pPr>
      <w:r>
        <w:rPr>
          <w:b/>
          <w:bCs/>
        </w:rPr>
        <w:t>Appendi</w:t>
      </w:r>
      <w:r>
        <w:rPr>
          <w:b/>
          <w:bCs/>
        </w:rPr>
        <w:t>x</w:t>
      </w:r>
    </w:p>
    <w:p>
      <w:pPr>
        <w:pStyle w:val="Normal"/>
        <w:rPr/>
      </w:pPr>
      <w:r>
        <w:rPr/>
      </w:r>
    </w:p>
    <w:p>
      <w:pPr>
        <w:pStyle w:val="Normal"/>
        <w:rPr/>
      </w:pPr>
      <w:r>
        <w:rPr/>
        <w:t xml:space="preserve">Tables 1 to x </w:t>
      </w:r>
    </w:p>
    <w:p>
      <w:pPr>
        <w:pStyle w:val="Normal"/>
        <w:rPr/>
      </w:pPr>
      <w:r>
        <w:rPr/>
      </w:r>
    </w:p>
    <w:p>
      <w:pPr>
        <w:pStyle w:val="Normal"/>
        <w:rPr/>
      </w:pPr>
      <w:r>
        <w:rPr>
          <w:b/>
          <w:bCs/>
        </w:rPr>
        <w:t xml:space="preserve">Table 1: Features and </w:t>
      </w:r>
      <w:r>
        <w:rPr>
          <w:b/>
          <w:bCs/>
        </w:rPr>
        <w:t>M</w:t>
      </w:r>
      <w:r>
        <w:rPr>
          <w:b/>
          <w:bCs/>
        </w:rPr>
        <w:t xml:space="preserve">odifications </w:t>
      </w:r>
      <w:r>
        <w:rPr>
          <w:b/>
          <w:bCs/>
        </w:rPr>
        <w:t>for the Engineering Division</w:t>
      </w:r>
    </w:p>
    <w:tbl>
      <w:tblPr>
        <w:tblW w:w="10466" w:type="dxa"/>
        <w:jc w:val="left"/>
        <w:tblInd w:w="-40" w:type="dxa"/>
        <w:tblBorders>
          <w:top w:val="single" w:sz="8" w:space="0" w:color="000001"/>
          <w:left w:val="single" w:sz="8" w:space="0" w:color="000001"/>
        </w:tblBorders>
        <w:tblCellMar>
          <w:top w:w="0" w:type="dxa"/>
          <w:left w:w="78" w:type="dxa"/>
          <w:bottom w:w="0" w:type="dxa"/>
          <w:right w:w="108" w:type="dxa"/>
        </w:tblCellMar>
        <w:tblLook w:noVBand="0" w:val="0000" w:noHBand="0" w:lastColumn="0" w:firstColumn="0" w:lastRow="0" w:firstRow="0"/>
      </w:tblPr>
      <w:tblGrid>
        <w:gridCol w:w="912"/>
        <w:gridCol w:w="3517"/>
        <w:gridCol w:w="1785"/>
        <w:gridCol w:w="850"/>
        <w:gridCol w:w="3402"/>
      </w:tblGrid>
      <w:tr>
        <w:trPr>
          <w:trHeight w:val="360" w:hRule="atLeast"/>
        </w:trPr>
        <w:tc>
          <w:tcPr>
            <w:tcW w:w="912" w:type="dxa"/>
            <w:tcBorders>
              <w:top w:val="single" w:sz="8" w:space="0" w:color="000001"/>
              <w:left w:val="single" w:sz="8" w:space="0" w:color="000001"/>
            </w:tcBorders>
            <w:shd w:color="auto" w:fill="333333" w:val="clear"/>
            <w:tcMar>
              <w:left w:w="78" w:type="dxa"/>
            </w:tcMar>
          </w:tcPr>
          <w:p>
            <w:pPr>
              <w:pStyle w:val="Normal"/>
              <w:jc w:val="center"/>
              <w:rPr>
                <w:rFonts w:ascii="Arial" w:hAnsi="Arial" w:cs="Arial"/>
                <w:b/>
                <w:b/>
                <w:bCs/>
                <w:color w:val="FFFFFF"/>
                <w:sz w:val="22"/>
                <w:szCs w:val="22"/>
              </w:rPr>
            </w:pPr>
            <w:r>
              <w:rPr>
                <w:rFonts w:cs="Arial" w:ascii="Arial" w:hAnsi="Arial"/>
                <w:b/>
                <w:bCs/>
                <w:color w:val="FFFFFF"/>
                <w:sz w:val="22"/>
                <w:szCs w:val="22"/>
              </w:rPr>
              <w:t>Item #</w:t>
            </w:r>
          </w:p>
        </w:tc>
        <w:tc>
          <w:tcPr>
            <w:tcW w:w="3517" w:type="dxa"/>
            <w:tcBorders>
              <w:top w:val="single" w:sz="8" w:space="0" w:color="000001"/>
              <w:left w:val="single" w:sz="8" w:space="0" w:color="000001"/>
            </w:tcBorders>
            <w:shd w:color="auto" w:fill="333333" w:val="clear"/>
            <w:tcMar>
              <w:left w:w="78" w:type="dxa"/>
            </w:tcMar>
          </w:tcPr>
          <w:p>
            <w:pPr>
              <w:pStyle w:val="Normal"/>
              <w:jc w:val="center"/>
              <w:rPr>
                <w:rFonts w:ascii="Arial" w:hAnsi="Arial" w:cs="Arial"/>
                <w:b/>
                <w:b/>
                <w:bCs/>
                <w:color w:val="FFFFFF"/>
                <w:sz w:val="22"/>
                <w:szCs w:val="22"/>
              </w:rPr>
            </w:pPr>
            <w:r>
              <w:rPr>
                <w:rFonts w:cs="Arial" w:ascii="Arial" w:hAnsi="Arial"/>
                <w:b/>
                <w:bCs/>
                <w:color w:val="FFFFFF"/>
                <w:sz w:val="22"/>
                <w:szCs w:val="22"/>
              </w:rPr>
              <w:t>Feature/Modification</w:t>
            </w:r>
          </w:p>
        </w:tc>
        <w:tc>
          <w:tcPr>
            <w:tcW w:w="1785" w:type="dxa"/>
            <w:tcBorders>
              <w:top w:val="single" w:sz="8" w:space="0" w:color="000001"/>
            </w:tcBorders>
            <w:shd w:color="auto" w:fill="333333" w:val="clear"/>
            <w:tcMar>
              <w:left w:w="108" w:type="dxa"/>
            </w:tcMar>
          </w:tcPr>
          <w:p>
            <w:pPr>
              <w:pStyle w:val="Normal"/>
              <w:jc w:val="center"/>
              <w:rPr>
                <w:rFonts w:ascii="Arial" w:hAnsi="Arial" w:cs="Arial"/>
                <w:b/>
                <w:b/>
                <w:bCs/>
                <w:color w:val="FFFFFF"/>
                <w:sz w:val="20"/>
                <w:szCs w:val="20"/>
              </w:rPr>
            </w:pPr>
            <w:r>
              <w:rPr>
                <w:rFonts w:cs="Arial" w:ascii="Arial" w:hAnsi="Arial"/>
                <w:b/>
                <w:bCs/>
                <w:color w:val="FFFFFF"/>
                <w:sz w:val="20"/>
                <w:szCs w:val="20"/>
              </w:rPr>
              <w:t>Category</w:t>
            </w:r>
          </w:p>
        </w:tc>
        <w:tc>
          <w:tcPr>
            <w:tcW w:w="850" w:type="dxa"/>
            <w:tcBorders>
              <w:top w:val="single" w:sz="8" w:space="0" w:color="000001"/>
              <w:left w:val="single" w:sz="4" w:space="0" w:color="000001"/>
            </w:tcBorders>
            <w:shd w:color="auto" w:fill="333333" w:val="clear"/>
            <w:tcMar>
              <w:left w:w="93" w:type="dxa"/>
            </w:tcMar>
          </w:tcPr>
          <w:p>
            <w:pPr>
              <w:pStyle w:val="Normal"/>
              <w:jc w:val="center"/>
              <w:rPr>
                <w:rFonts w:ascii="Arial" w:hAnsi="Arial" w:cs="Arial"/>
                <w:b/>
                <w:b/>
                <w:bCs/>
                <w:color w:val="FFFFFF"/>
                <w:sz w:val="20"/>
                <w:szCs w:val="20"/>
              </w:rPr>
            </w:pPr>
            <w:r>
              <w:rPr>
                <w:rFonts w:cs="Arial" w:ascii="Arial" w:hAnsi="Arial"/>
                <w:b/>
                <w:bCs/>
                <w:color w:val="FFFFFF"/>
                <w:sz w:val="20"/>
                <w:szCs w:val="20"/>
              </w:rPr>
              <w:t>TAT *</w:t>
            </w:r>
          </w:p>
        </w:tc>
        <w:tc>
          <w:tcPr>
            <w:tcW w:w="3402" w:type="dxa"/>
            <w:tcBorders>
              <w:top w:val="single" w:sz="8" w:space="0" w:color="000001"/>
              <w:left w:val="single" w:sz="4" w:space="0" w:color="000001"/>
              <w:right w:val="single" w:sz="8" w:space="0" w:color="000001"/>
              <w:insideV w:val="single" w:sz="8" w:space="0" w:color="000001"/>
            </w:tcBorders>
            <w:shd w:color="auto" w:fill="333333" w:val="clear"/>
            <w:tcMar>
              <w:left w:w="93" w:type="dxa"/>
            </w:tcMar>
          </w:tcPr>
          <w:p>
            <w:pPr>
              <w:pStyle w:val="Normal"/>
              <w:jc w:val="center"/>
              <w:rPr>
                <w:rFonts w:ascii="Arial" w:hAnsi="Arial" w:cs="Arial"/>
                <w:b/>
                <w:b/>
                <w:bCs/>
                <w:color w:val="FFFFFF"/>
                <w:sz w:val="20"/>
                <w:szCs w:val="20"/>
              </w:rPr>
            </w:pPr>
            <w:r>
              <w:rPr>
                <w:rFonts w:cs="Arial" w:ascii="Arial" w:hAnsi="Arial"/>
                <w:b/>
                <w:bCs/>
                <w:color w:val="FFFFFF"/>
                <w:sz w:val="20"/>
                <w:szCs w:val="20"/>
              </w:rPr>
              <w:t>Comment</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color w:val="000000"/>
                <w:sz w:val="22"/>
                <w:szCs w:val="22"/>
              </w:rPr>
            </w:pPr>
            <w:r>
              <w:rPr>
                <w:rFonts w:cs="Arial" w:ascii="Arial" w:hAnsi="Arial"/>
                <w:color w:val="auto"/>
                <w:sz w:val="22"/>
                <w:szCs w:val="22"/>
              </w:rPr>
              <w:t>1</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color w:val="000000"/>
                <w:sz w:val="22"/>
                <w:szCs w:val="22"/>
              </w:rPr>
            </w:pPr>
            <w:r>
              <w:rPr>
                <w:rFonts w:cs="Arial" w:ascii="Arial" w:hAnsi="Arial"/>
                <w:color w:val="auto"/>
                <w:sz w:val="22"/>
                <w:szCs w:val="22"/>
              </w:rPr>
              <w:t>Job to be marked completed only after the job costing is approved.</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Job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color w:val="auto"/>
                <w:sz w:val="22"/>
                <w:szCs w:val="22"/>
              </w:rPr>
            </w:pPr>
            <w:r>
              <w:rPr>
                <w:rFonts w:cs="Arial" w:ascii="Arial" w:hAnsi="Arial"/>
                <w:color w:val="auto"/>
                <w:sz w:val="22"/>
                <w:szCs w:val="22"/>
              </w:rPr>
            </w:r>
          </w:p>
          <w:p>
            <w:pPr>
              <w:pStyle w:val="Normal"/>
              <w:jc w:val="center"/>
              <w:rPr>
                <w:rFonts w:ascii="Arial" w:hAnsi="Arial" w:cs="Arial"/>
                <w:sz w:val="22"/>
                <w:szCs w:val="22"/>
              </w:rPr>
            </w:pPr>
            <w:r>
              <w:rPr>
                <w:rFonts w:cs="Arial" w:ascii="Arial" w:hAnsi="Arial"/>
                <w:color w:val="auto"/>
                <w:sz w:val="22"/>
                <w:szCs w:val="22"/>
              </w:rPr>
              <w:t>2</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sz w:val="22"/>
                <w:szCs w:val="22"/>
              </w:rPr>
            </w:pPr>
            <w:r>
              <w:rPr>
                <w:rFonts w:cs="Arial" w:ascii="Arial" w:hAnsi="Arial"/>
                <w:color w:val="auto"/>
                <w:sz w:val="22"/>
                <w:szCs w:val="22"/>
              </w:rPr>
              <w:t>Facilitation of sample hand over from one department to another. This includes “signing” when the sample is handed over.</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Sample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sz w:val="22"/>
                <w:szCs w:val="22"/>
              </w:rPr>
            </w:pPr>
            <w:r>
              <w:rPr>
                <w:rFonts w:cs="Arial" w:ascii="Arial" w:hAnsi="Arial"/>
                <w:color w:val="auto"/>
                <w:sz w:val="22"/>
                <w:szCs w:val="22"/>
              </w:rPr>
              <w:t>3</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sz w:val="22"/>
                <w:szCs w:val="22"/>
              </w:rPr>
            </w:pPr>
            <w:r>
              <w:rPr>
                <w:rFonts w:cs="Arial" w:ascii="Arial" w:hAnsi="Arial"/>
                <w:color w:val="auto"/>
                <w:sz w:val="22"/>
                <w:szCs w:val="22"/>
              </w:rPr>
              <w:t>The state of the sample when received is to be included into the sample record.</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bookmarkStart w:id="0" w:name="__DdeLink__261_935792482"/>
            <w:bookmarkEnd w:id="0"/>
            <w:r>
              <w:rPr>
                <w:rFonts w:cs="Arial" w:ascii="Arial" w:hAnsi="Arial"/>
                <w:color w:val="000000"/>
                <w:sz w:val="22"/>
                <w:szCs w:val="22"/>
              </w:rPr>
              <w:t>Sample Tracking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sz w:val="22"/>
                <w:szCs w:val="22"/>
              </w:rPr>
            </w:pPr>
            <w:r>
              <w:rPr>
                <w:rFonts w:cs="Arial" w:ascii="Arial" w:hAnsi="Arial"/>
                <w:color w:val="auto"/>
                <w:sz w:val="22"/>
                <w:szCs w:val="22"/>
              </w:rPr>
              <w:t>4</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sz w:val="22"/>
                <w:szCs w:val="22"/>
              </w:rPr>
            </w:pPr>
            <w:r>
              <w:rPr>
                <w:rFonts w:cs="Arial" w:ascii="Arial" w:hAnsi="Arial"/>
                <w:color w:val="auto"/>
                <w:sz w:val="22"/>
                <w:szCs w:val="22"/>
              </w:rPr>
              <w:t>In client credit status dialog allow view credit/regular clients only.</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t>Finance</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r>
      <w:tr>
        <w:trPr>
          <w:trHeight w:val="694"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sz w:val="22"/>
                <w:szCs w:val="22"/>
              </w:rPr>
            </w:pPr>
            <w:r>
              <w:rPr>
                <w:rFonts w:cs="Arial" w:ascii="Arial" w:hAnsi="Arial"/>
                <w:color w:val="auto"/>
                <w:sz w:val="22"/>
                <w:szCs w:val="22"/>
              </w:rPr>
              <w:t>5</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color w:val="auto"/>
              </w:rPr>
            </w:pPr>
            <w:r>
              <w:rPr>
                <w:rFonts w:cs="Arial" w:ascii="Arial" w:hAnsi="Arial"/>
                <w:color w:val="auto"/>
                <w:sz w:val="22"/>
                <w:szCs w:val="22"/>
              </w:rPr>
              <w:t>Add of privileges for job costing approval with a department.</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textAlignment w:val="top"/>
              <w:rPr>
                <w:rFonts w:ascii="Arial" w:hAnsi="Arial" w:cs="Arial"/>
                <w:color w:val="000000"/>
                <w:sz w:val="22"/>
                <w:szCs w:val="22"/>
              </w:rPr>
            </w:pPr>
            <w:r>
              <w:rPr>
                <w:rFonts w:cs="Arial" w:ascii="Arial" w:hAnsi="Arial"/>
                <w:color w:val="000000"/>
                <w:sz w:val="22"/>
                <w:szCs w:val="22"/>
              </w:rPr>
              <w:t>Access Control &amp; Privileges</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This will be done in accordance to how it is currently done in the JMTS.</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sz w:val="22"/>
                <w:szCs w:val="22"/>
              </w:rPr>
            </w:pPr>
            <w:r>
              <w:rPr>
                <w:rFonts w:cs="Arial" w:ascii="Arial" w:hAnsi="Arial"/>
                <w:color w:val="auto"/>
                <w:sz w:val="22"/>
                <w:szCs w:val="22"/>
              </w:rPr>
              <w:t>6</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sz w:val="22"/>
                <w:szCs w:val="22"/>
              </w:rPr>
            </w:pPr>
            <w:r>
              <w:rPr>
                <w:rFonts w:cs="Arial" w:ascii="Arial" w:hAnsi="Arial"/>
                <w:color w:val="auto"/>
                <w:sz w:val="22"/>
                <w:szCs w:val="22"/>
              </w:rPr>
              <w:t>Monthly report is to be standardized across the division and the name changed from Monthly Report to “Departmental Report”. The calculation of COTIF is to be standardized. Divisional and lab reports are to be created that also gives COTIF.</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sz w:val="22"/>
                <w:szCs w:val="22"/>
              </w:rPr>
            </w:pPr>
            <w:r>
              <w:rPr>
                <w:rFonts w:cs="Arial" w:ascii="Arial" w:hAnsi="Arial"/>
                <w:color w:val="auto"/>
                <w:sz w:val="22"/>
                <w:szCs w:val="22"/>
              </w:rPr>
              <w:t>7</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sz w:val="22"/>
                <w:szCs w:val="22"/>
              </w:rPr>
            </w:pPr>
            <w:r>
              <w:rPr>
                <w:rFonts w:cs="Arial" w:ascii="Arial" w:hAnsi="Arial"/>
                <w:color w:val="auto"/>
                <w:sz w:val="22"/>
                <w:szCs w:val="22"/>
              </w:rPr>
              <w:t>Cost Scheduling and Proforma Invoice generation are to be included into system.</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t>Finance</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132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color w:val="000000"/>
              </w:rPr>
            </w:pPr>
            <w:r>
              <w:rPr>
                <w:rFonts w:cs="Arial" w:ascii="Arial" w:hAnsi="Arial"/>
                <w:color w:val="auto"/>
              </w:rPr>
              <w:t>8</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color w:val="000000"/>
              </w:rPr>
            </w:pPr>
            <w:r>
              <w:rPr>
                <w:rFonts w:cs="Arial" w:ascii="Arial" w:hAnsi="Arial"/>
                <w:color w:val="auto"/>
              </w:rPr>
              <w:t>Designate laboratories and department units as cost centres and assign cost codes</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Finance</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Cost codes are to be assigned by the Finance division.</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93" w:type="dxa"/>
            </w:tcMar>
            <w:vAlign w:val="center"/>
          </w:tcPr>
          <w:p>
            <w:pPr>
              <w:pStyle w:val="Normal"/>
              <w:jc w:val="center"/>
              <w:rPr>
                <w:rFonts w:ascii="Arial" w:hAnsi="Arial" w:cs="Arial"/>
                <w:color w:val="000000"/>
              </w:rPr>
            </w:pPr>
            <w:r>
              <w:rPr>
                <w:rFonts w:cs="Arial" w:ascii="Arial" w:hAnsi="Arial"/>
                <w:color w:val="auto"/>
              </w:rPr>
              <w:t>9</w:t>
            </w:r>
          </w:p>
        </w:tc>
        <w:tc>
          <w:tcPr>
            <w:tcW w:w="351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textAlignment w:val="top"/>
              <w:rPr>
                <w:rFonts w:ascii="Arial" w:hAnsi="Arial" w:cs="Arial"/>
                <w:color w:val="000000"/>
              </w:rPr>
            </w:pPr>
            <w:r>
              <w:rPr>
                <w:rFonts w:cs="Arial" w:ascii="Arial" w:hAnsi="Arial"/>
                <w:color w:val="auto"/>
              </w:rPr>
              <w:t>Turnaround times are to be reported for the Finance division.</w:t>
            </w:r>
          </w:p>
        </w:tc>
        <w:tc>
          <w:tcPr>
            <w:tcW w:w="17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1"/>
              <w:bottom w:val="single" w:sz="4" w:space="0" w:color="00000A"/>
              <w:insideH w:val="single" w:sz="4" w:space="0" w:color="00000A"/>
            </w:tcBorders>
            <w:shd w:fill="auto" w:val="clear"/>
            <w:tcMar>
              <w:left w:w="93" w:type="dxa"/>
            </w:tcMar>
            <w:vAlign w:val="center"/>
          </w:tcPr>
          <w:p>
            <w:pPr>
              <w:pStyle w:val="Normal"/>
              <w:jc w:val="center"/>
              <w:rPr>
                <w:rFonts w:ascii="Arial" w:hAnsi="Arial" w:cs="Arial"/>
                <w:color w:val="000000"/>
              </w:rPr>
            </w:pPr>
            <w:r>
              <w:rPr>
                <w:rFonts w:cs="Arial" w:ascii="Arial" w:hAnsi="Arial"/>
                <w:color w:val="auto"/>
              </w:rPr>
              <w:t>10</w:t>
            </w:r>
          </w:p>
        </w:tc>
        <w:tc>
          <w:tcPr>
            <w:tcW w:w="3517" w:type="dxa"/>
            <w:tcBorders>
              <w:top w:val="single" w:sz="4" w:space="0" w:color="00000A"/>
              <w:left w:val="single" w:sz="4" w:space="0" w:color="000001"/>
              <w:bottom w:val="single" w:sz="4" w:space="0" w:color="00000A"/>
              <w:insideH w:val="single" w:sz="4" w:space="0" w:color="00000A"/>
            </w:tcBorders>
            <w:shd w:fill="auto" w:val="clear"/>
            <w:tcMar>
              <w:left w:w="93" w:type="dxa"/>
            </w:tcMar>
          </w:tcPr>
          <w:p>
            <w:pPr>
              <w:pStyle w:val="Normal"/>
              <w:textAlignment w:val="top"/>
              <w:rPr>
                <w:rFonts w:ascii="Arial" w:hAnsi="Arial" w:cs="Arial"/>
                <w:color w:val="000000"/>
              </w:rPr>
            </w:pPr>
            <w:r>
              <w:rPr>
                <w:rFonts w:cs="Arial" w:ascii="Arial" w:hAnsi="Arial"/>
                <w:color w:val="auto"/>
              </w:rPr>
              <w:t>The equipment used to do tests/calibrations is to be associated with a job and reported.</w:t>
            </w:r>
          </w:p>
        </w:tc>
        <w:tc>
          <w:tcPr>
            <w:tcW w:w="1785" w:type="dxa"/>
            <w:tcBorders>
              <w:top w:val="single" w:sz="4" w:space="0" w:color="00000A"/>
              <w:left w:val="single" w:sz="4" w:space="0" w:color="000001"/>
              <w:bottom w:val="single" w:sz="4" w:space="0" w:color="00000A"/>
              <w:insideH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850" w:type="dxa"/>
            <w:tcBorders>
              <w:top w:val="single" w:sz="4" w:space="0" w:color="00000A"/>
              <w:left w:val="single" w:sz="4" w:space="0" w:color="000001"/>
              <w:bottom w:val="single" w:sz="4" w:space="0" w:color="00000A"/>
              <w:insideH w:val="single" w:sz="4" w:space="0" w:color="00000A"/>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The list of equipment used by the labs is to be provided by Finance.</w:t>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rFonts w:ascii="Arial" w:hAnsi="Arial" w:cs="Arial"/>
                <w:color w:val="000000"/>
              </w:rPr>
            </w:pPr>
            <w:r>
              <w:rPr>
                <w:rFonts w:cs="Arial" w:ascii="Arial" w:hAnsi="Arial"/>
                <w:color w:val="auto"/>
              </w:rPr>
              <w:t>11</w:t>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extAlignment w:val="top"/>
              <w:rPr>
                <w:rFonts w:ascii="Arial" w:hAnsi="Arial" w:cs="Arial"/>
                <w:color w:val="000000"/>
              </w:rPr>
            </w:pPr>
            <w:r>
              <w:rPr>
                <w:rFonts w:cs="Arial" w:ascii="Arial" w:hAnsi="Arial"/>
                <w:color w:val="auto"/>
              </w:rPr>
              <w:t>Add “lead generation” information concerning the reason a client will attend a training seminar for eg. {to be edited}</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CRM</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May be added to tracking section of client record for now.</w:t>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rFonts w:ascii="Arial" w:hAnsi="Arial" w:cs="Arial"/>
                <w:color w:val="auto"/>
              </w:rPr>
            </w:pPr>
            <w:r>
              <w:rPr>
                <w:rFonts w:cs="Arial" w:ascii="Arial" w:hAnsi="Arial"/>
                <w:color w:val="auto"/>
              </w:rPr>
              <w:t>12</w:t>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extAlignment w:val="top"/>
              <w:rPr>
                <w:rFonts w:ascii="Arial" w:hAnsi="Arial" w:cs="Arial"/>
                <w:color w:val="auto"/>
              </w:rPr>
            </w:pPr>
            <w:r>
              <w:rPr>
                <w:rFonts w:cs="Arial" w:ascii="Arial" w:hAnsi="Arial"/>
                <w:color w:val="auto"/>
              </w:rPr>
              <w:t>Standard operating p</w:t>
            </w:r>
            <w:r>
              <w:rPr>
                <w:rFonts w:cs="Arial" w:ascii="Arial" w:hAnsi="Arial"/>
                <w:color w:val="auto"/>
              </w:rPr>
              <w:t>rocedure to be modified to include sample transfer procedure as implemented by the JMTS.</w:t>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t>Sample Tracking</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jc w:val="center"/>
              <w:rPr>
                <w:rFonts w:ascii="Arial" w:hAnsi="Arial" w:cs="Arial"/>
                <w:color w:val="auto"/>
              </w:rPr>
            </w:pPr>
            <w:r>
              <w:rPr>
                <w:rFonts w:cs="Arial" w:ascii="Arial" w:hAnsi="Arial"/>
                <w:color w:val="auto"/>
              </w:rPr>
            </w:r>
          </w:p>
        </w:tc>
        <w:tc>
          <w:tcPr>
            <w:tcW w:w="3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extAlignment w:val="top"/>
              <w:rPr>
                <w:rFonts w:ascii="Arial" w:hAnsi="Arial" w:cs="Arial"/>
                <w:color w:val="auto"/>
              </w:rPr>
            </w:pPr>
            <w:r>
              <w:rPr>
                <w:rFonts w:cs="Arial" w:ascii="Arial" w:hAnsi="Arial"/>
                <w:color w:val="auto"/>
              </w:rPr>
            </w:r>
          </w:p>
        </w:tc>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sz w:val="22"/>
                <w:szCs w:val="22"/>
              </w:rPr>
            </w:pPr>
            <w:r>
              <w:rPr>
                <w:rFonts w:cs="Arial" w:ascii="Arial" w:hAnsi="Arial"/>
                <w:sz w:val="22"/>
                <w:szCs w:val="22"/>
              </w:rPr>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bl>
    <w:p>
      <w:pPr>
        <w:pStyle w:val="Normal"/>
        <w:rPr/>
      </w:pPr>
      <w:r>
        <w:rPr/>
      </w:r>
    </w:p>
    <w:p>
      <w:pPr>
        <w:pStyle w:val="Normal"/>
        <w:jc w:val="both"/>
        <w:rPr/>
      </w:pPr>
      <w:r>
        <w:rPr>
          <w:b/>
        </w:rPr>
        <w:t>* TAT is the estimated turnaround time in working days required to implement the feature or modification.</w:t>
      </w:r>
    </w:p>
    <w:p>
      <w:pPr>
        <w:pStyle w:val="Normal"/>
        <w:jc w:val="both"/>
        <w:rPr/>
      </w:pPr>
      <w:r>
        <w:rPr/>
      </w:r>
    </w:p>
    <w:p>
      <w:pPr>
        <w:pStyle w:val="Normal"/>
        <w:rPr/>
      </w:pPr>
      <w:r>
        <w:rPr/>
      </w:r>
    </w:p>
    <w:sectPr>
      <w:footerReference w:type="default" r:id="rId2"/>
      <w:footerReference w:type="first" r:id="rId3"/>
      <w:type w:val="nextPage"/>
      <w:pgSz w:w="11906" w:h="16838"/>
      <w:pgMar w:left="851" w:right="851" w:header="0"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Times New Roman">
    <w:charset w:val="01"/>
    <w:family w:val="roman"/>
    <w:pitch w:val="default"/>
  </w:font>
  <w:font w:name="Symbol">
    <w:charset w:val="01"/>
    <w:family w:val="roman"/>
    <w:pitch w:val="default"/>
  </w:font>
  <w:font w:name="OpenSymbol">
    <w:altName w:val="Arial Unicode MS"/>
    <w:charset w:val="01"/>
    <w:family w:val="roman"/>
    <w:pitch w:val="default"/>
    <w:embedRegular r:id="rId5" w:fontKey="{05014A78-CABC-4EF0-12AC-5CD89AEFDE05}"/>
  </w:font>
  <w:font w:name="Liberation Sans">
    <w:altName w:val="Arial"/>
    <w:charset w:val="01"/>
    <w:family w:val="roman"/>
    <w:pitch w:val="default"/>
    <w:embedRegular r:id="rId6" w:fontKey="{06014A78-CABC-4EF0-12AC-5CD89AEFDE06}"/>
    <w:embedBold r:id="rId7" w:fontKey="{07014A78-CABC-4EF0-12AC-5CD89AEFDE07}"/>
    <w:embedItalic r:id="rId8" w:fontKey="{08014A78-CABC-4EF0-12AC-5CD89AEFDE08}"/>
    <w:embedBoldItalic r:id="rId9" w:fontKey="{09014A78-CABC-4EF0-12AC-5CD89AEFDE09}"/>
  </w:font>
  <w:font w:name="Tms Rmn">
    <w:altName w:val="Times New Roman"/>
    <w:charset w:val="01"/>
    <w:family w:val="roman"/>
    <w:pitch w:val="default"/>
  </w:font>
  <w:font w:name="Univers">
    <w:charset w:val="01"/>
    <w:family w:val="roman"/>
    <w:pitch w:val="default"/>
  </w:font>
  <w:font w:name="Arial">
    <w:charset w:val="01"/>
    <w:family w:val="roman"/>
    <w:pitch w:val="default"/>
  </w:font>
  <w:font w:name="Symbol">
    <w:charset w:val="02"/>
    <w:family w:val="auto"/>
    <w:pitch w:val="default"/>
  </w:font>
  <w:font w:name="OpenSymbol">
    <w:altName w:val="Arial Unicode MS"/>
    <w:charset w:val="01"/>
    <w:family w:val="auto"/>
    <w:pitch w:val="default"/>
    <w:embedRegular r:id="rId10" w:fontKey="{0A014A78-CABC-4EF0-12AC-5CD89AEFDE0A}"/>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3" wp14:anchorId="65DF26DF">
              <wp:simplePos x="0" y="0"/>
              <wp:positionH relativeFrom="margin">
                <wp:align>center</wp:align>
              </wp:positionH>
              <wp:positionV relativeFrom="paragraph">
                <wp:posOffset>635</wp:posOffset>
              </wp:positionV>
              <wp:extent cx="78740" cy="177165"/>
              <wp:effectExtent l="0" t="0" r="0" b="0"/>
              <wp:wrapSquare wrapText="largest"/>
              <wp:docPr id="1" name="Frame5"/>
              <a:graphic xmlns:a="http://schemas.openxmlformats.org/drawingml/2006/main">
                <a:graphicData uri="http://schemas.microsoft.com/office/word/2010/wordprocessingShape">
                  <wps:wsp>
                    <wps:cNvSpPr/>
                    <wps:spPr>
                      <a:xfrm>
                        <a:off x="0" y="0"/>
                        <a:ext cx="78120" cy="1764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noAutofit/>
                    </wps:bodyPr>
                  </wps:wsp>
                </a:graphicData>
              </a:graphic>
            </wp:anchor>
          </w:drawing>
        </mc:Choice>
        <mc:Fallback>
          <w:pict>
            <v:rect id="shape_0" ID="Frame5" stroked="f" style="position:absolute;margin-left:252pt;margin-top:0.05pt;width:6.1pt;height:13.85pt;mso-position-horizontal:center;mso-position-horizontal-relative:margin" wp14:anchorId="65DF26DF">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r>
      <w:rPr/>
      <w:t xml:space="preserve">JMTS Consultancy Inception Report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TrueTypeFonts/>
  <w:defaultTabStop w:val="720"/>
  <w:compat>
    <w:compatSetting w:name="compatibilityMode" w:uri="http://schemas.microsoft.com/office/word" w:val="12"/>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3z1" w:customStyle="1">
    <w:name w:val="WW8Num3z1"/>
    <w:qFormat/>
    <w:rPr>
      <w:rFonts w:ascii="Symbol" w:hAnsi="Symbol" w:cs="Symbol"/>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b/>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St13z0" w:customStyle="1">
    <w:name w:val="WW8NumSt13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basedOn w:val="DefaultParagraphFont"/>
    <w:qFormat/>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rFonts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rPr>
      <w:rFonts w:ascii="Tms Rmn" w:hAnsi="Tms Rmn" w:cs="Tms Rmn"/>
      <w:shadow/>
      <w:sz w:val="20"/>
      <w:szCs w:val="20"/>
      <w:lang w:eastAsia="en-JM"/>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rojectdata" w:customStyle="1">
    <w:name w:val="Project data"/>
    <w:basedOn w:val="Normal"/>
    <w:qFormat/>
    <w:pPr>
      <w:spacing w:before="60" w:after="60"/>
    </w:pPr>
    <w:rPr>
      <w:rFonts w:ascii="Univers" w:hAnsi="Univers" w:cs="Univers"/>
      <w:sz w:val="20"/>
      <w:szCs w:val="20"/>
    </w:rPr>
  </w:style>
  <w:style w:type="paragraph" w:styleId="Projectdatasubjects" w:customStyle="1">
    <w:name w:val="Project data subjects"/>
    <w:basedOn w:val="Normal"/>
    <w:qFormat/>
    <w:pPr>
      <w:spacing w:before="40" w:after="40"/>
    </w:pPr>
    <w:rPr>
      <w:rFonts w:ascii="Univers" w:hAnsi="Univers" w:cs="Univers"/>
      <w:b/>
      <w:sz w:val="20"/>
      <w:szCs w:val="20"/>
    </w:rPr>
  </w:style>
  <w:style w:type="paragraph" w:styleId="Titleitems" w:customStyle="1">
    <w:name w:val="Title items"/>
    <w:basedOn w:val="Normal"/>
    <w:qFormat/>
    <w:pPr>
      <w:spacing w:before="240" w:after="0"/>
      <w:jc w:val="center"/>
    </w:pPr>
    <w:rPr>
      <w:rFonts w:ascii="Univers" w:hAnsi="Univers" w:cs="Univers"/>
      <w:szCs w:val="20"/>
    </w:rPr>
  </w:style>
  <w:style w:type="paragraph" w:styleId="Itemtitle" w:customStyle="1">
    <w:name w:val="Item title"/>
    <w:basedOn w:val="Normal"/>
    <w:qFormat/>
    <w:pPr>
      <w:jc w:val="center"/>
    </w:pPr>
    <w:rPr>
      <w:rFonts w:ascii="Univers" w:hAnsi="Univers" w:cs="Univers"/>
      <w:b/>
      <w:sz w:val="32"/>
      <w:szCs w:val="20"/>
    </w:rPr>
  </w:style>
  <w:style w:type="paragraph" w:styleId="Typeofreport" w:customStyle="1">
    <w:name w:val="Type of report"/>
    <w:basedOn w:val="Normal"/>
    <w:qFormat/>
    <w:pPr>
      <w:spacing w:before="360" w:after="360"/>
      <w:jc w:val="center"/>
    </w:pPr>
    <w:rPr>
      <w:rFonts w:ascii="Univers" w:hAnsi="Univers" w:cs="Univers"/>
      <w:b/>
      <w:sz w:val="32"/>
      <w:szCs w:val="20"/>
    </w:rPr>
  </w:style>
  <w:style w:type="paragraph" w:styleId="Nameofproject" w:customStyle="1">
    <w:name w:val="Name of project"/>
    <w:basedOn w:val="Itemtitle"/>
    <w:qFormat/>
    <w:pPr>
      <w:spacing w:before="0" w:after="720"/>
    </w:pPr>
    <w:rPr/>
  </w:style>
  <w:style w:type="paragraph" w:styleId="Footer">
    <w:name w:val="Footer"/>
    <w:basedOn w:val="Normal"/>
    <w:pPr>
      <w:tabs>
        <w:tab w:val="center" w:pos="4536" w:leader="none"/>
        <w:tab w:val="right" w:pos="9072" w:leader="none"/>
      </w:tabs>
    </w:pPr>
    <w:rPr/>
  </w:style>
  <w:style w:type="paragraph" w:styleId="Default" w:customStyle="1">
    <w:name w:val="Default"/>
    <w:qFormat/>
    <w:pPr>
      <w:widowControl/>
      <w:bidi w:val="0"/>
      <w:jc w:val="left"/>
    </w:pPr>
    <w:rPr>
      <w:rFonts w:ascii="Times New Roman" w:hAnsi="Times New Roman" w:eastAsia="Times New Roman" w:cs="Times New Roman"/>
      <w:color w:val="000000"/>
      <w:kern w:val="0"/>
      <w:sz w:val="24"/>
      <w:szCs w:val="24"/>
      <w:lang w:val="en-US" w:eastAsia="zh-CN" w:bidi="ar-SA"/>
    </w:rPr>
  </w:style>
  <w:style w:type="paragraph" w:styleId="Header">
    <w:name w:val="Header"/>
    <w:basedOn w:val="Normal"/>
    <w:pPr>
      <w:tabs>
        <w:tab w:val="center" w:pos="4536" w:leader="none"/>
        <w:tab w:val="right" w:pos="9072" w:leader="none"/>
      </w:tabs>
    </w:pPr>
    <w:rPr/>
  </w:style>
  <w:style w:type="paragraph" w:styleId="Footnotetext">
    <w:name w:val="footnote text"/>
    <w:basedOn w:val="Normal"/>
    <w:qFormat/>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5f10f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Relationship Id="rId9" Type="http://schemas.openxmlformats.org/officeDocument/2006/relationships/font" Target="fonts/font9.odttf"/><Relationship Id="rId10" Type="http://schemas.openxmlformats.org/officeDocument/2006/relationships/font" Target="fonts/font10.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Application>LibreOffice/5.4.6.2$Linux_x86 LibreOffice_project/40$Build-2</Application>
  <Pages>3</Pages>
  <Words>521</Words>
  <Characters>2754</Characters>
  <CharactersWithSpaces>3211</CharactersWithSpaces>
  <Paragraphs>70</Paragraphs>
  <Company>Bureau of Standards Jamaica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2018-02-26T13:25:00Z</dcterms:created>
  <dc:creator/>
  <dc:description/>
  <dc:language>en-JM</dc:language>
  <cp:lastModifiedBy/>
  <dcterms:modified xsi:type="dcterms:W3CDTF">2018-03-25T14:03:54Z</dcterms:modified>
  <cp:revision>93</cp:revision>
  <dc:subject/>
  <dc:title>JMTS Inception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Bureau of Standards Jamaica</vt:lpwstr>
  </property>
  <property fmtid="{D5CDD505-2E9C-101B-9397-08002B2CF9AE}" pid="4" name="DocSecurity">
    <vt:i4>0</vt:i4>
  </property>
  <property fmtid="{D5CDD505-2E9C-101B-9397-08002B2CF9AE}" pid="5" name="HyperlinksChanged">
    <vt:bool>0</vt:bool>
  </property>
  <property fmtid="{D5CDD505-2E9C-101B-9397-08002B2CF9AE}" pid="6" name="LW_DocType">
    <vt:lpwstr>LW_DocType</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