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XSpec="center" w:tblpY="841"/>
        <w:tblW w:w="5159" w:type="pct"/>
        <w:tblLook w:val="04A0" w:firstRow="1" w:lastRow="0" w:firstColumn="1" w:lastColumn="0" w:noHBand="0" w:noVBand="1"/>
      </w:tblPr>
      <w:tblGrid>
        <w:gridCol w:w="4436"/>
        <w:gridCol w:w="2557"/>
        <w:gridCol w:w="3806"/>
      </w:tblGrid>
      <w:tr w:rsidR="00331B8C" w:rsidRPr="001805E8" w:rsidTr="00E24753">
        <w:trPr>
          <w:trHeight w:val="229"/>
        </w:trPr>
        <w:tc>
          <w:tcPr>
            <w:tcW w:w="2054" w:type="pct"/>
          </w:tcPr>
          <w:p w:rsidR="00331B8C" w:rsidRPr="000B62B0" w:rsidRDefault="004A5041" w:rsidP="00E24753">
            <w:pPr>
              <w:spacing w:after="0" w:line="240" w:lineRule="auto"/>
              <w:jc w:val="center"/>
              <w:rPr>
                <w:rFonts w:ascii="Arial" w:hAnsi="Arial" w:cs="Arial"/>
                <w:sz w:val="20"/>
                <w:szCs w:val="24"/>
              </w:rPr>
            </w:pPr>
            <w:r>
              <w:rPr>
                <w:rFonts w:ascii="Arial" w:hAnsi="Arial" w:cs="Arial"/>
                <w:sz w:val="20"/>
                <w:szCs w:val="24"/>
              </w:rPr>
              <w:t xml:space="preserve"> </w:t>
            </w:r>
            <w:r w:rsidR="001C6888">
              <w:rPr>
                <w:rFonts w:ascii="Arial" w:hAnsi="Arial" w:cs="Arial"/>
                <w:sz w:val="20"/>
                <w:szCs w:val="24"/>
              </w:rPr>
              <w:t xml:space="preserve"> </w:t>
            </w:r>
            <w:r w:rsidR="00331B8C" w:rsidRPr="000B62B0">
              <w:rPr>
                <w:rFonts w:ascii="Arial" w:hAnsi="Arial" w:cs="Arial"/>
                <w:sz w:val="20"/>
                <w:szCs w:val="24"/>
              </w:rPr>
              <w:t>MINISTERE DE L’ECONOMIE ET DES FINANCES</w:t>
            </w:r>
          </w:p>
          <w:p w:rsidR="00331B8C" w:rsidRPr="001805E8" w:rsidRDefault="00331B8C" w:rsidP="00E24753">
            <w:pPr>
              <w:spacing w:after="0" w:line="240" w:lineRule="auto"/>
              <w:jc w:val="center"/>
              <w:rPr>
                <w:rFonts w:ascii="Arial" w:hAnsi="Arial" w:cs="Arial"/>
                <w:b/>
                <w:szCs w:val="24"/>
              </w:rPr>
            </w:pPr>
            <w:r w:rsidRPr="001805E8">
              <w:rPr>
                <w:rFonts w:ascii="Arial" w:hAnsi="Arial" w:cs="Arial"/>
                <w:b/>
                <w:szCs w:val="24"/>
              </w:rPr>
              <w:t>--------------------</w:t>
            </w:r>
          </w:p>
        </w:tc>
        <w:tc>
          <w:tcPr>
            <w:tcW w:w="1184" w:type="pct"/>
          </w:tcPr>
          <w:p w:rsidR="00331B8C" w:rsidRPr="001805E8" w:rsidRDefault="00331B8C" w:rsidP="00E24753">
            <w:pPr>
              <w:tabs>
                <w:tab w:val="left" w:pos="1875"/>
                <w:tab w:val="center" w:pos="4536"/>
                <w:tab w:val="right" w:pos="9072"/>
              </w:tabs>
              <w:spacing w:after="0"/>
              <w:jc w:val="center"/>
              <w:rPr>
                <w:rFonts w:ascii="Arial" w:hAnsi="Arial" w:cs="Arial"/>
                <w:szCs w:val="24"/>
              </w:rPr>
            </w:pPr>
            <w:r w:rsidRPr="000064C8">
              <w:rPr>
                <w:noProof/>
                <w:lang w:eastAsia="fr-FR"/>
              </w:rPr>
              <w:drawing>
                <wp:inline distT="0" distB="0" distL="0" distR="0" wp14:anchorId="34E749D7" wp14:editId="280888DC">
                  <wp:extent cx="790575" cy="5429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0575" cy="542925"/>
                          </a:xfrm>
                          <a:prstGeom prst="rect">
                            <a:avLst/>
                          </a:prstGeom>
                          <a:noFill/>
                          <a:ln>
                            <a:noFill/>
                          </a:ln>
                        </pic:spPr>
                      </pic:pic>
                    </a:graphicData>
                  </a:graphic>
                </wp:inline>
              </w:drawing>
            </w:r>
          </w:p>
        </w:tc>
        <w:tc>
          <w:tcPr>
            <w:tcW w:w="1762" w:type="pct"/>
          </w:tcPr>
          <w:p w:rsidR="00331B8C" w:rsidRPr="000B62B0" w:rsidRDefault="00331B8C" w:rsidP="00E24753">
            <w:pPr>
              <w:spacing w:after="0" w:line="240" w:lineRule="auto"/>
              <w:rPr>
                <w:rFonts w:ascii="Arial" w:hAnsi="Arial" w:cs="Arial"/>
                <w:sz w:val="20"/>
                <w:szCs w:val="24"/>
              </w:rPr>
            </w:pPr>
            <w:r w:rsidRPr="000B62B0">
              <w:rPr>
                <w:rFonts w:ascii="Arial" w:hAnsi="Arial" w:cs="Arial"/>
                <w:sz w:val="20"/>
                <w:szCs w:val="24"/>
              </w:rPr>
              <w:t>REPUBLIQUE DE CÔTE D’IVOIRE</w:t>
            </w:r>
          </w:p>
          <w:p w:rsidR="00331B8C" w:rsidRDefault="00331B8C" w:rsidP="00E24753">
            <w:pPr>
              <w:spacing w:after="0" w:line="240" w:lineRule="auto"/>
              <w:jc w:val="center"/>
              <w:rPr>
                <w:rFonts w:ascii="Arial" w:hAnsi="Arial" w:cs="Arial"/>
                <w:szCs w:val="24"/>
              </w:rPr>
            </w:pPr>
            <w:r w:rsidRPr="000B62B0">
              <w:rPr>
                <w:rFonts w:ascii="Arial" w:hAnsi="Arial" w:cs="Arial"/>
                <w:sz w:val="20"/>
                <w:szCs w:val="24"/>
              </w:rPr>
              <w:t>Union – Discipline – Travail</w:t>
            </w:r>
          </w:p>
          <w:p w:rsidR="00331B8C" w:rsidRPr="00DF3803" w:rsidRDefault="00331B8C" w:rsidP="00E24753">
            <w:pPr>
              <w:rPr>
                <w:rFonts w:ascii="Arial" w:hAnsi="Arial" w:cs="Arial"/>
                <w:szCs w:val="24"/>
              </w:rPr>
            </w:pPr>
            <w:r>
              <w:rPr>
                <w:rFonts w:ascii="Arial" w:hAnsi="Arial" w:cs="Arial"/>
                <w:b/>
                <w:szCs w:val="24"/>
              </w:rPr>
              <w:t xml:space="preserve">                  </w:t>
            </w:r>
            <w:r w:rsidRPr="001805E8">
              <w:rPr>
                <w:rFonts w:ascii="Arial" w:hAnsi="Arial" w:cs="Arial"/>
                <w:b/>
                <w:szCs w:val="24"/>
              </w:rPr>
              <w:t>-----------------</w:t>
            </w:r>
          </w:p>
        </w:tc>
      </w:tr>
    </w:tbl>
    <w:p w:rsidR="00331B8C" w:rsidRPr="00215082" w:rsidRDefault="00331B8C" w:rsidP="00331B8C">
      <w:pPr>
        <w:rPr>
          <w:sz w:val="4"/>
        </w:rPr>
      </w:pPr>
    </w:p>
    <w:p w:rsidR="00331B8C" w:rsidRPr="008A1204" w:rsidRDefault="00331B8C" w:rsidP="00331B8C">
      <w:pPr>
        <w:jc w:val="center"/>
        <w:rPr>
          <w:rFonts w:ascii="Century Gothic" w:hAnsi="Century Gothic"/>
          <w:b/>
          <w:sz w:val="28"/>
          <w:szCs w:val="28"/>
          <w:u w:val="single"/>
        </w:rPr>
      </w:pPr>
      <w:r w:rsidRPr="00A20B3F">
        <w:rPr>
          <w:rFonts w:ascii="Century Gothic" w:hAnsi="Century Gothic"/>
          <w:b/>
          <w:sz w:val="28"/>
          <w:szCs w:val="28"/>
          <w:u w:val="single"/>
        </w:rPr>
        <w:t xml:space="preserve">NOTE SUR </w:t>
      </w:r>
      <w:r>
        <w:rPr>
          <w:rFonts w:ascii="Century Gothic" w:hAnsi="Century Gothic"/>
          <w:b/>
          <w:sz w:val="28"/>
          <w:szCs w:val="28"/>
          <w:u w:val="single"/>
        </w:rPr>
        <w:t xml:space="preserve">LA COOPERATION AVEC </w:t>
      </w:r>
      <w:r w:rsidR="005176D8">
        <w:rPr>
          <w:rFonts w:ascii="Century Gothic" w:hAnsi="Century Gothic"/>
          <w:b/>
          <w:sz w:val="28"/>
          <w:szCs w:val="28"/>
          <w:u w:val="single"/>
        </w:rPr>
        <w:t>LA</w:t>
      </w:r>
      <w:r w:rsidR="00FF07FD">
        <w:rPr>
          <w:rFonts w:ascii="Century Gothic" w:hAnsi="Century Gothic"/>
          <w:b/>
          <w:sz w:val="28"/>
          <w:szCs w:val="28"/>
          <w:u w:val="single"/>
        </w:rPr>
        <w:t xml:space="preserve"> </w:t>
      </w:r>
      <w:r w:rsidR="004E72EA">
        <w:rPr>
          <w:rFonts w:ascii="Century Gothic" w:hAnsi="Century Gothic"/>
          <w:b/>
          <w:sz w:val="28"/>
          <w:szCs w:val="28"/>
          <w:u w:val="single"/>
        </w:rPr>
        <w:t>FINLANDE</w:t>
      </w:r>
    </w:p>
    <w:tbl>
      <w:tblPr>
        <w:tblStyle w:val="Grilledutableau"/>
        <w:tblW w:w="10632" w:type="dxa"/>
        <w:jc w:val="center"/>
        <w:tblLayout w:type="fixed"/>
        <w:tblLook w:val="04A0" w:firstRow="1" w:lastRow="0" w:firstColumn="1" w:lastColumn="0" w:noHBand="0" w:noVBand="1"/>
      </w:tblPr>
      <w:tblGrid>
        <w:gridCol w:w="1844"/>
        <w:gridCol w:w="8788"/>
      </w:tblGrid>
      <w:tr w:rsidR="00331B8C" w:rsidTr="006775C4">
        <w:trPr>
          <w:jc w:val="center"/>
        </w:trPr>
        <w:tc>
          <w:tcPr>
            <w:tcW w:w="1844" w:type="dxa"/>
            <w:vAlign w:val="center"/>
          </w:tcPr>
          <w:p w:rsidR="00331B8C" w:rsidRPr="003F2E6D" w:rsidRDefault="00331B8C" w:rsidP="00331B8C">
            <w:pPr>
              <w:spacing w:before="60" w:after="60"/>
              <w:rPr>
                <w:rFonts w:ascii="Century Gothic" w:hAnsi="Century Gothic"/>
                <w:b/>
                <w:sz w:val="24"/>
                <w:szCs w:val="24"/>
              </w:rPr>
            </w:pPr>
            <w:r>
              <w:rPr>
                <w:rFonts w:ascii="Century Gothic" w:hAnsi="Century Gothic"/>
                <w:b/>
                <w:sz w:val="24"/>
                <w:szCs w:val="24"/>
              </w:rPr>
              <w:t>Date</w:t>
            </w:r>
          </w:p>
        </w:tc>
        <w:tc>
          <w:tcPr>
            <w:tcW w:w="8788" w:type="dxa"/>
          </w:tcPr>
          <w:p w:rsidR="00331B8C" w:rsidRPr="006A0712" w:rsidRDefault="00C21E11" w:rsidP="00871AFE">
            <w:pPr>
              <w:spacing w:before="60" w:after="60" w:line="240" w:lineRule="auto"/>
              <w:rPr>
                <w:rFonts w:ascii="Century Gothic" w:hAnsi="Century Gothic"/>
                <w:szCs w:val="24"/>
              </w:rPr>
            </w:pPr>
            <w:r>
              <w:rPr>
                <w:rFonts w:ascii="Century Gothic" w:hAnsi="Century Gothic"/>
                <w:szCs w:val="24"/>
              </w:rPr>
              <w:t xml:space="preserve">22 </w:t>
            </w:r>
            <w:r w:rsidR="00444985">
              <w:rPr>
                <w:rFonts w:ascii="Century Gothic" w:hAnsi="Century Gothic"/>
                <w:szCs w:val="24"/>
              </w:rPr>
              <w:t xml:space="preserve"> mars </w:t>
            </w:r>
            <w:r w:rsidR="00331B8C">
              <w:rPr>
                <w:rFonts w:ascii="Century Gothic" w:hAnsi="Century Gothic"/>
                <w:szCs w:val="24"/>
              </w:rPr>
              <w:t xml:space="preserve"> </w:t>
            </w:r>
            <w:r w:rsidR="00331B8C" w:rsidRPr="00752DDC">
              <w:rPr>
                <w:rFonts w:ascii="Century Gothic" w:hAnsi="Century Gothic"/>
                <w:szCs w:val="24"/>
              </w:rPr>
              <w:t>201</w:t>
            </w:r>
            <w:r w:rsidR="00871AFE">
              <w:rPr>
                <w:rFonts w:ascii="Century Gothic" w:hAnsi="Century Gothic"/>
                <w:szCs w:val="24"/>
              </w:rPr>
              <w:t>8</w:t>
            </w:r>
          </w:p>
        </w:tc>
      </w:tr>
      <w:tr w:rsidR="00331B8C" w:rsidRPr="00D96460" w:rsidTr="006775C4">
        <w:trPr>
          <w:jc w:val="center"/>
        </w:trPr>
        <w:tc>
          <w:tcPr>
            <w:tcW w:w="1844" w:type="dxa"/>
            <w:vAlign w:val="center"/>
          </w:tcPr>
          <w:p w:rsidR="00331B8C" w:rsidRPr="008A1204" w:rsidRDefault="00331B8C" w:rsidP="00331B8C">
            <w:pPr>
              <w:spacing w:before="60" w:after="60"/>
              <w:rPr>
                <w:rFonts w:ascii="Century Gothic" w:hAnsi="Century Gothic"/>
                <w:b/>
                <w:sz w:val="24"/>
                <w:szCs w:val="24"/>
              </w:rPr>
            </w:pPr>
            <w:r w:rsidRPr="00215082">
              <w:rPr>
                <w:rFonts w:ascii="Century Gothic" w:hAnsi="Century Gothic"/>
                <w:b/>
                <w:szCs w:val="24"/>
              </w:rPr>
              <w:t>Contenu</w:t>
            </w:r>
          </w:p>
        </w:tc>
        <w:tc>
          <w:tcPr>
            <w:tcW w:w="8788" w:type="dxa"/>
            <w:shd w:val="clear" w:color="auto" w:fill="auto"/>
          </w:tcPr>
          <w:p w:rsidR="00EB0B11" w:rsidRPr="00DC5D41" w:rsidRDefault="00544106" w:rsidP="00D54B11">
            <w:pPr>
              <w:spacing w:before="120" w:after="120"/>
              <w:jc w:val="both"/>
              <w:rPr>
                <w:rFonts w:ascii="Century Gothic" w:hAnsi="Century Gothic"/>
              </w:rPr>
            </w:pPr>
            <w:r w:rsidRPr="00DC5D41">
              <w:rPr>
                <w:rFonts w:ascii="Century Gothic" w:hAnsi="Century Gothic"/>
              </w:rPr>
              <w:t xml:space="preserve">S.E. Mme </w:t>
            </w:r>
            <w:r w:rsidRPr="00DC5D41">
              <w:rPr>
                <w:rFonts w:ascii="Century Gothic" w:hAnsi="Century Gothic"/>
                <w:b/>
              </w:rPr>
              <w:t>BALDE LAURENT Mina</w:t>
            </w:r>
            <w:r w:rsidRPr="00DC5D41">
              <w:rPr>
                <w:rFonts w:ascii="Century Gothic" w:hAnsi="Century Gothic"/>
              </w:rPr>
              <w:t xml:space="preserve">, </w:t>
            </w:r>
            <w:r w:rsidR="00C62DF4" w:rsidRPr="00DC5D41">
              <w:rPr>
                <w:rFonts w:ascii="Century Gothic" w:hAnsi="Century Gothic"/>
              </w:rPr>
              <w:t xml:space="preserve">Ambassadeur la Côte d’Ivoire </w:t>
            </w:r>
            <w:r w:rsidRPr="00DC5D41">
              <w:rPr>
                <w:rFonts w:ascii="Century Gothic" w:hAnsi="Century Gothic"/>
              </w:rPr>
              <w:t>au Danemark couvre la Suède</w:t>
            </w:r>
            <w:r w:rsidR="00C21E11" w:rsidRPr="00DC5D41">
              <w:rPr>
                <w:rFonts w:ascii="Century Gothic" w:hAnsi="Century Gothic"/>
              </w:rPr>
              <w:t>, la Norvège et la Finlande.</w:t>
            </w:r>
            <w:r w:rsidR="00C62DF4" w:rsidRPr="00DC5D41">
              <w:rPr>
                <w:rFonts w:ascii="Century Gothic" w:hAnsi="Century Gothic"/>
              </w:rPr>
              <w:t xml:space="preserve"> L’ambassadrice de la Finlande en Côte d’Ivoire se nomme S.E. Mme  </w:t>
            </w:r>
            <w:proofErr w:type="spellStart"/>
            <w:r w:rsidR="00C62DF4" w:rsidRPr="00DC5D41">
              <w:rPr>
                <w:rFonts w:ascii="Century Gothic" w:hAnsi="Century Gothic"/>
                <w:b/>
              </w:rPr>
              <w:t>Seija</w:t>
            </w:r>
            <w:proofErr w:type="spellEnd"/>
            <w:r w:rsidR="00C62DF4" w:rsidRPr="00DC5D41">
              <w:rPr>
                <w:rFonts w:ascii="Century Gothic" w:hAnsi="Century Gothic"/>
                <w:b/>
              </w:rPr>
              <w:t xml:space="preserve"> Toro</w:t>
            </w:r>
            <w:r w:rsidR="00C62DF4" w:rsidRPr="00DC5D41">
              <w:rPr>
                <w:rFonts w:ascii="Century Gothic" w:hAnsi="Century Gothic"/>
              </w:rPr>
              <w:t>.</w:t>
            </w:r>
          </w:p>
          <w:p w:rsidR="00331B8C" w:rsidRPr="00DC5D41" w:rsidRDefault="00331B8C" w:rsidP="00D54B11">
            <w:pPr>
              <w:pStyle w:val="Paragraphedeliste"/>
              <w:numPr>
                <w:ilvl w:val="0"/>
                <w:numId w:val="1"/>
              </w:numPr>
              <w:spacing w:before="120" w:after="120"/>
              <w:ind w:left="603" w:hanging="243"/>
              <w:jc w:val="both"/>
              <w:rPr>
                <w:rFonts w:ascii="Century Gothic" w:hAnsi="Century Gothic"/>
                <w:b/>
                <w:u w:val="single"/>
              </w:rPr>
            </w:pPr>
            <w:r w:rsidRPr="00DC5D41">
              <w:rPr>
                <w:rFonts w:ascii="Century Gothic" w:hAnsi="Century Gothic"/>
                <w:b/>
                <w:u w:val="single"/>
              </w:rPr>
              <w:t>Coopération technique, économique, financière et commerciale</w:t>
            </w:r>
          </w:p>
          <w:p w:rsidR="00AD40FA" w:rsidRDefault="00AD40FA" w:rsidP="00AD40FA">
            <w:pPr>
              <w:spacing w:after="0" w:line="240" w:lineRule="auto"/>
              <w:jc w:val="both"/>
              <w:rPr>
                <w:rFonts w:ascii="Century Gothic" w:hAnsi="Century Gothic"/>
              </w:rPr>
            </w:pPr>
            <w:r w:rsidRPr="00780982">
              <w:rPr>
                <w:rFonts w:ascii="Century Gothic" w:hAnsi="Century Gothic"/>
              </w:rPr>
              <w:t>A ce</w:t>
            </w:r>
            <w:r>
              <w:rPr>
                <w:rFonts w:ascii="Century Gothic" w:hAnsi="Century Gothic"/>
              </w:rPr>
              <w:t xml:space="preserve"> jour, les relations bilatérales entre la Côte d’Ivoire et la </w:t>
            </w:r>
            <w:r>
              <w:rPr>
                <w:rFonts w:ascii="Century Gothic" w:hAnsi="Century Gothic"/>
              </w:rPr>
              <w:t>Finlande</w:t>
            </w:r>
            <w:r>
              <w:rPr>
                <w:rFonts w:ascii="Century Gothic" w:hAnsi="Century Gothic"/>
              </w:rPr>
              <w:t xml:space="preserve"> </w:t>
            </w:r>
            <w:r>
              <w:rPr>
                <w:rFonts w:ascii="Century Gothic" w:hAnsi="Century Gothic"/>
              </w:rPr>
              <w:t>ne se sont pas encore matérialisées par la</w:t>
            </w:r>
            <w:r>
              <w:rPr>
                <w:rFonts w:ascii="Century Gothic" w:hAnsi="Century Gothic"/>
              </w:rPr>
              <w:t xml:space="preserve"> signature d’Accords de coopération technique ou d’Accords de financement.</w:t>
            </w:r>
          </w:p>
          <w:p w:rsidR="00AD40FA" w:rsidRDefault="00AD40FA" w:rsidP="004C4C1B">
            <w:pPr>
              <w:pStyle w:val="Paragraphedeliste"/>
              <w:spacing w:before="120" w:after="120"/>
              <w:ind w:left="0"/>
              <w:jc w:val="both"/>
              <w:rPr>
                <w:rFonts w:ascii="Century Gothic" w:hAnsi="Century Gothic"/>
              </w:rPr>
            </w:pPr>
            <w:r>
              <w:rPr>
                <w:rFonts w:ascii="Century Gothic" w:hAnsi="Century Gothic"/>
              </w:rPr>
              <w:t>Toutefois, plusieurs Accords régissent les relations entre les deux (02) pays à travers l’Union Européenne. Il s’agit, entre autres, de :</w:t>
            </w:r>
          </w:p>
          <w:p w:rsidR="00AD40FA" w:rsidRDefault="00AD40FA" w:rsidP="00AD40FA">
            <w:pPr>
              <w:numPr>
                <w:ilvl w:val="0"/>
                <w:numId w:val="24"/>
              </w:numPr>
              <w:spacing w:before="60" w:after="60"/>
              <w:ind w:left="714" w:hanging="357"/>
              <w:contextualSpacing/>
              <w:jc w:val="both"/>
              <w:rPr>
                <w:rFonts w:ascii="Century Gothic" w:eastAsia="Times New Roman" w:hAnsi="Century Gothic"/>
                <w:lang w:eastAsia="fr-FR"/>
              </w:rPr>
            </w:pPr>
            <w:hyperlink r:id="rId9" w:history="1">
              <w:proofErr w:type="gramStart"/>
              <w:r w:rsidRPr="001C0A35">
                <w:rPr>
                  <w:rFonts w:ascii="Century Gothic" w:eastAsia="Times New Roman" w:hAnsi="Century Gothic"/>
                  <w:color w:val="000000"/>
                  <w:lang w:eastAsia="fr-FR"/>
                </w:rPr>
                <w:t>l’Accord</w:t>
              </w:r>
              <w:proofErr w:type="gramEnd"/>
              <w:r w:rsidRPr="001C0A35">
                <w:rPr>
                  <w:rFonts w:ascii="Century Gothic" w:eastAsia="Times New Roman" w:hAnsi="Century Gothic"/>
                  <w:color w:val="000000"/>
                  <w:lang w:eastAsia="fr-FR"/>
                </w:rPr>
                <w:t xml:space="preserve"> de Cotonou</w:t>
              </w:r>
            </w:hyperlink>
            <w:r w:rsidRPr="00995EE1">
              <w:rPr>
                <w:rFonts w:ascii="Century Gothic" w:eastAsia="Times New Roman" w:hAnsi="Century Gothic"/>
                <w:lang w:eastAsia="fr-FR"/>
              </w:rPr>
              <w:t xml:space="preserve"> révisé en 2005 et en 2010, </w:t>
            </w:r>
            <w:r>
              <w:rPr>
                <w:rFonts w:ascii="Century Gothic" w:eastAsia="Times New Roman" w:hAnsi="Century Gothic"/>
                <w:lang w:eastAsia="fr-FR"/>
              </w:rPr>
              <w:t xml:space="preserve">qui </w:t>
            </w:r>
            <w:r w:rsidRPr="00995EE1">
              <w:rPr>
                <w:rFonts w:ascii="Century Gothic" w:eastAsia="Times New Roman" w:hAnsi="Century Gothic"/>
                <w:lang w:eastAsia="fr-FR"/>
              </w:rPr>
              <w:t xml:space="preserve">a pour objectifs de promouvoir une approche stratégique commune pour la réduction de la pauvreté et l’intégration progressive </w:t>
            </w:r>
            <w:r>
              <w:rPr>
                <w:rFonts w:ascii="Century Gothic" w:eastAsia="Times New Roman" w:hAnsi="Century Gothic"/>
                <w:lang w:eastAsia="fr-FR"/>
              </w:rPr>
              <w:t>de la Côte d’Ivoire</w:t>
            </w:r>
            <w:r w:rsidRPr="00995EE1">
              <w:rPr>
                <w:rFonts w:ascii="Century Gothic" w:eastAsia="Times New Roman" w:hAnsi="Century Gothic"/>
                <w:lang w:eastAsia="fr-FR"/>
              </w:rPr>
              <w:t xml:space="preserve"> dans l’économie mondiale. Il instaure un dialogue politique bilatéral afin d’échanger des informations, favoriser la compréhension commune et la d</w:t>
            </w:r>
            <w:r>
              <w:rPr>
                <w:rFonts w:ascii="Century Gothic" w:eastAsia="Times New Roman" w:hAnsi="Century Gothic"/>
                <w:lang w:eastAsia="fr-FR"/>
              </w:rPr>
              <w:t>éfinition d'engagements mutuels ;</w:t>
            </w:r>
          </w:p>
          <w:p w:rsidR="00AD40FA" w:rsidRPr="001C0A35" w:rsidRDefault="00AD40FA" w:rsidP="00AD40FA">
            <w:pPr>
              <w:numPr>
                <w:ilvl w:val="0"/>
                <w:numId w:val="24"/>
              </w:numPr>
              <w:spacing w:before="60" w:after="60"/>
              <w:ind w:left="714" w:hanging="357"/>
              <w:contextualSpacing/>
              <w:jc w:val="both"/>
              <w:rPr>
                <w:rFonts w:ascii="Century Gothic" w:eastAsia="Times New Roman" w:hAnsi="Century Gothic"/>
                <w:lang w:eastAsia="fr-FR"/>
              </w:rPr>
            </w:pPr>
            <w:proofErr w:type="gramStart"/>
            <w:r>
              <w:rPr>
                <w:rFonts w:ascii="Century Gothic" w:hAnsi="Century Gothic"/>
                <w:color w:val="000000"/>
              </w:rPr>
              <w:t>la</w:t>
            </w:r>
            <w:proofErr w:type="gramEnd"/>
            <w:r>
              <w:rPr>
                <w:rFonts w:ascii="Century Gothic" w:hAnsi="Century Gothic"/>
                <w:color w:val="000000"/>
              </w:rPr>
              <w:t xml:space="preserve"> s</w:t>
            </w:r>
            <w:r w:rsidRPr="001C0A35">
              <w:rPr>
                <w:rFonts w:ascii="Century Gothic" w:hAnsi="Century Gothic"/>
                <w:color w:val="000000"/>
              </w:rPr>
              <w:t xml:space="preserve">ignature d’un </w:t>
            </w:r>
            <w:hyperlink r:id="rId10" w:history="1">
              <w:r w:rsidRPr="001C0A35">
                <w:rPr>
                  <w:rFonts w:ascii="Century Gothic" w:eastAsia="Times New Roman" w:hAnsi="Century Gothic"/>
                  <w:color w:val="000000"/>
                  <w:lang w:eastAsia="fr-FR"/>
                </w:rPr>
                <w:t>Accord de partenariat</w:t>
              </w:r>
              <w:r>
                <w:rPr>
                  <w:rFonts w:ascii="Century Gothic" w:eastAsia="Times New Roman" w:hAnsi="Century Gothic"/>
                  <w:color w:val="000000"/>
                  <w:lang w:eastAsia="fr-FR"/>
                </w:rPr>
                <w:t xml:space="preserve"> entre l’UE et la Côte d’Ivoire</w:t>
              </w:r>
              <w:r w:rsidRPr="001C0A35">
                <w:rPr>
                  <w:rFonts w:ascii="Century Gothic" w:eastAsia="Times New Roman" w:hAnsi="Century Gothic"/>
                  <w:color w:val="000000"/>
                  <w:lang w:eastAsia="fr-FR"/>
                </w:rPr>
                <w:t xml:space="preserve"> dans le secteur de la pêche</w:t>
              </w:r>
            </w:hyperlink>
            <w:r w:rsidRPr="00445435">
              <w:rPr>
                <w:rFonts w:ascii="Century Gothic" w:eastAsia="Times New Roman" w:hAnsi="Century Gothic"/>
                <w:lang w:eastAsia="fr-FR"/>
              </w:rPr>
              <w:t xml:space="preserve"> pour la période du 1er juillet 2007 au 30 juin 2013</w:t>
            </w:r>
            <w:r>
              <w:rPr>
                <w:rFonts w:ascii="Century Gothic" w:eastAsia="Times New Roman" w:hAnsi="Century Gothic"/>
                <w:lang w:eastAsia="fr-FR"/>
              </w:rPr>
              <w:t> ;</w:t>
            </w:r>
          </w:p>
          <w:p w:rsidR="00AD40FA" w:rsidRDefault="00AD40FA" w:rsidP="004C4C1B">
            <w:pPr>
              <w:numPr>
                <w:ilvl w:val="0"/>
                <w:numId w:val="24"/>
              </w:numPr>
              <w:spacing w:before="120" w:after="120"/>
              <w:contextualSpacing/>
              <w:jc w:val="both"/>
              <w:rPr>
                <w:rFonts w:ascii="Century Gothic" w:eastAsia="Times New Roman" w:hAnsi="Century Gothic"/>
                <w:lang w:eastAsia="fr-FR"/>
              </w:rPr>
            </w:pPr>
            <w:r>
              <w:rPr>
                <w:rFonts w:ascii="Century Gothic" w:eastAsia="Times New Roman" w:hAnsi="Century Gothic"/>
                <w:lang w:eastAsia="fr-FR"/>
              </w:rPr>
              <w:t>l</w:t>
            </w:r>
            <w:r w:rsidRPr="00995EE1">
              <w:rPr>
                <w:rFonts w:ascii="Century Gothic" w:eastAsia="Times New Roman" w:hAnsi="Century Gothic"/>
                <w:lang w:eastAsia="fr-FR"/>
              </w:rPr>
              <w:t xml:space="preserve">a Côte d‘Ivoire et </w:t>
            </w:r>
            <w:r>
              <w:rPr>
                <w:rFonts w:ascii="Century Gothic" w:eastAsia="Times New Roman" w:hAnsi="Century Gothic"/>
                <w:lang w:eastAsia="fr-FR"/>
              </w:rPr>
              <w:t xml:space="preserve">l’Union Européenne </w:t>
            </w:r>
            <w:r w:rsidRPr="00995EE1">
              <w:rPr>
                <w:rFonts w:ascii="Century Gothic" w:eastAsia="Times New Roman" w:hAnsi="Century Gothic"/>
                <w:lang w:eastAsia="fr-FR"/>
              </w:rPr>
              <w:t>ont signé le 26 novembre 2008</w:t>
            </w:r>
            <w:r>
              <w:rPr>
                <w:rFonts w:ascii="Century Gothic" w:eastAsia="Times New Roman" w:hAnsi="Century Gothic"/>
                <w:lang w:eastAsia="fr-FR"/>
              </w:rPr>
              <w:t>,</w:t>
            </w:r>
            <w:r w:rsidRPr="00995EE1">
              <w:rPr>
                <w:rFonts w:ascii="Century Gothic" w:eastAsia="Times New Roman" w:hAnsi="Century Gothic"/>
                <w:lang w:eastAsia="fr-FR"/>
              </w:rPr>
              <w:t xml:space="preserve"> un </w:t>
            </w:r>
            <w:hyperlink r:id="rId11" w:history="1">
              <w:r>
                <w:rPr>
                  <w:rFonts w:ascii="Century Gothic" w:eastAsia="Times New Roman" w:hAnsi="Century Gothic"/>
                  <w:color w:val="000000"/>
                  <w:lang w:eastAsia="fr-FR"/>
                </w:rPr>
                <w:t>Accord de Partenariat E</w:t>
              </w:r>
              <w:r w:rsidRPr="001C0A35">
                <w:rPr>
                  <w:rFonts w:ascii="Century Gothic" w:eastAsia="Times New Roman" w:hAnsi="Century Gothic"/>
                  <w:color w:val="000000"/>
                  <w:lang w:eastAsia="fr-FR"/>
                </w:rPr>
                <w:t>conomique Intérimaire</w:t>
              </w:r>
            </w:hyperlink>
            <w:r w:rsidRPr="00995EE1">
              <w:rPr>
                <w:rFonts w:ascii="Century Gothic" w:eastAsia="Times New Roman" w:hAnsi="Century Gothic"/>
                <w:lang w:eastAsia="fr-FR"/>
              </w:rPr>
              <w:t xml:space="preserve"> en attendant l'avancement des négociations de </w:t>
            </w:r>
            <w:hyperlink r:id="rId12" w:history="1">
              <w:r>
                <w:rPr>
                  <w:rFonts w:ascii="Century Gothic" w:eastAsia="Times New Roman" w:hAnsi="Century Gothic"/>
                  <w:color w:val="000000"/>
                  <w:lang w:eastAsia="fr-FR"/>
                </w:rPr>
                <w:t>l’Accord de Partenariat R</w:t>
              </w:r>
              <w:r w:rsidRPr="001C0A35">
                <w:rPr>
                  <w:rFonts w:ascii="Century Gothic" w:eastAsia="Times New Roman" w:hAnsi="Century Gothic"/>
                  <w:color w:val="000000"/>
                  <w:lang w:eastAsia="fr-FR"/>
                </w:rPr>
                <w:t>égional</w:t>
              </w:r>
            </w:hyperlink>
            <w:r>
              <w:rPr>
                <w:rFonts w:ascii="Century Gothic" w:eastAsia="Times New Roman" w:hAnsi="Century Gothic"/>
                <w:lang w:eastAsia="fr-FR"/>
              </w:rPr>
              <w:t xml:space="preserve"> qui a été conclu en 2014 après dix (10) années de discussion</w:t>
            </w:r>
            <w:r w:rsidRPr="00995EE1">
              <w:rPr>
                <w:rFonts w:ascii="Century Gothic" w:eastAsia="Times New Roman" w:hAnsi="Century Gothic"/>
                <w:lang w:eastAsia="fr-FR"/>
              </w:rPr>
              <w:t>.</w:t>
            </w:r>
            <w:r>
              <w:rPr>
                <w:rFonts w:ascii="Century Gothic" w:eastAsia="Times New Roman" w:hAnsi="Century Gothic"/>
                <w:lang w:eastAsia="fr-FR"/>
              </w:rPr>
              <w:t xml:space="preserve"> Quant à l’APE intérimaire de la Cô</w:t>
            </w:r>
            <w:r w:rsidRPr="00452815">
              <w:rPr>
                <w:rFonts w:ascii="Century Gothic" w:eastAsia="Times New Roman" w:hAnsi="Century Gothic"/>
                <w:lang w:eastAsia="fr-FR"/>
              </w:rPr>
              <w:t>te d'Ivoire</w:t>
            </w:r>
            <w:r>
              <w:rPr>
                <w:rFonts w:ascii="Century Gothic" w:eastAsia="Times New Roman" w:hAnsi="Century Gothic"/>
                <w:lang w:eastAsia="fr-FR"/>
              </w:rPr>
              <w:t>, il</w:t>
            </w:r>
            <w:r w:rsidRPr="00452815">
              <w:rPr>
                <w:rFonts w:ascii="Century Gothic" w:eastAsia="Times New Roman" w:hAnsi="Century Gothic"/>
                <w:lang w:eastAsia="fr-FR"/>
              </w:rPr>
              <w:t xml:space="preserve"> a été ratifié par l'Assemblée Nationale l</w:t>
            </w:r>
            <w:r>
              <w:rPr>
                <w:rFonts w:ascii="Century Gothic" w:eastAsia="Times New Roman" w:hAnsi="Century Gothic"/>
                <w:lang w:eastAsia="fr-FR"/>
              </w:rPr>
              <w:t>e 12 a</w:t>
            </w:r>
            <w:r w:rsidRPr="00452815">
              <w:rPr>
                <w:rFonts w:ascii="Century Gothic" w:eastAsia="Times New Roman" w:hAnsi="Century Gothic"/>
                <w:lang w:eastAsia="fr-FR"/>
              </w:rPr>
              <w:t>oût 2016 et est rentré en application provis</w:t>
            </w:r>
            <w:r>
              <w:rPr>
                <w:rFonts w:ascii="Century Gothic" w:eastAsia="Times New Roman" w:hAnsi="Century Gothic"/>
                <w:lang w:eastAsia="fr-FR"/>
              </w:rPr>
              <w:t>oire depuis le 03 septembre 2016.</w:t>
            </w:r>
          </w:p>
          <w:p w:rsidR="00331B8C" w:rsidRPr="00DC5D41" w:rsidRDefault="00331B8C" w:rsidP="00300D34">
            <w:pPr>
              <w:pStyle w:val="Paragraphedeliste"/>
              <w:numPr>
                <w:ilvl w:val="0"/>
                <w:numId w:val="1"/>
              </w:numPr>
              <w:spacing w:before="60" w:after="60"/>
              <w:ind w:left="603" w:hanging="243"/>
              <w:jc w:val="both"/>
              <w:rPr>
                <w:rFonts w:ascii="Century Gothic" w:hAnsi="Century Gothic"/>
                <w:b/>
                <w:u w:val="single"/>
              </w:rPr>
            </w:pPr>
            <w:r w:rsidRPr="00DC5D41">
              <w:rPr>
                <w:rFonts w:ascii="Century Gothic" w:hAnsi="Century Gothic"/>
                <w:b/>
                <w:u w:val="single"/>
              </w:rPr>
              <w:t>Echanges commerciaux</w:t>
            </w:r>
          </w:p>
          <w:p w:rsidR="002201DD" w:rsidRPr="00DC5D41" w:rsidRDefault="00D61D28" w:rsidP="00331B8C">
            <w:pPr>
              <w:pStyle w:val="spip"/>
              <w:spacing w:before="60" w:beforeAutospacing="0" w:after="60" w:afterAutospacing="0" w:line="276" w:lineRule="auto"/>
              <w:jc w:val="both"/>
              <w:rPr>
                <w:rFonts w:ascii="Century Gothic" w:hAnsi="Century Gothic"/>
                <w:sz w:val="22"/>
                <w:szCs w:val="22"/>
              </w:rPr>
            </w:pPr>
            <w:r w:rsidRPr="00DC5D41">
              <w:rPr>
                <w:rFonts w:ascii="Century Gothic" w:hAnsi="Century Gothic"/>
                <w:sz w:val="22"/>
                <w:szCs w:val="22"/>
              </w:rPr>
              <w:t xml:space="preserve">La </w:t>
            </w:r>
            <w:r w:rsidR="00C21E11" w:rsidRPr="00DC5D41">
              <w:rPr>
                <w:rFonts w:ascii="Century Gothic" w:hAnsi="Century Gothic"/>
                <w:sz w:val="22"/>
                <w:szCs w:val="22"/>
              </w:rPr>
              <w:t xml:space="preserve">Finlande </w:t>
            </w:r>
            <w:r w:rsidR="002201DD" w:rsidRPr="00DC5D41">
              <w:rPr>
                <w:rFonts w:ascii="Century Gothic" w:hAnsi="Century Gothic"/>
                <w:sz w:val="22"/>
                <w:szCs w:val="22"/>
              </w:rPr>
              <w:t xml:space="preserve"> est le </w:t>
            </w:r>
            <w:r w:rsidR="00C64B97" w:rsidRPr="00DC5D41">
              <w:rPr>
                <w:rFonts w:ascii="Century Gothic" w:hAnsi="Century Gothic"/>
                <w:sz w:val="22"/>
                <w:szCs w:val="22"/>
              </w:rPr>
              <w:t>49</w:t>
            </w:r>
            <w:r w:rsidR="007622E8" w:rsidRPr="00DC5D41">
              <w:rPr>
                <w:rFonts w:ascii="Century Gothic" w:hAnsi="Century Gothic"/>
                <w:sz w:val="22"/>
                <w:szCs w:val="22"/>
                <w:vertAlign w:val="superscript"/>
              </w:rPr>
              <w:t>ème</w:t>
            </w:r>
            <w:r w:rsidR="007622E8" w:rsidRPr="00DC5D41">
              <w:rPr>
                <w:rFonts w:ascii="Century Gothic" w:hAnsi="Century Gothic"/>
                <w:sz w:val="22"/>
                <w:szCs w:val="22"/>
              </w:rPr>
              <w:t xml:space="preserve"> </w:t>
            </w:r>
            <w:r w:rsidR="007622E8" w:rsidRPr="00DC5D41">
              <w:rPr>
                <w:rFonts w:ascii="Century Gothic" w:hAnsi="Century Gothic"/>
                <w:sz w:val="22"/>
                <w:szCs w:val="22"/>
                <w:vertAlign w:val="superscript"/>
              </w:rPr>
              <w:t xml:space="preserve"> </w:t>
            </w:r>
            <w:r w:rsidR="002201DD" w:rsidRPr="00DC5D41">
              <w:rPr>
                <w:rFonts w:ascii="Century Gothic" w:hAnsi="Century Gothic"/>
                <w:sz w:val="22"/>
                <w:szCs w:val="22"/>
              </w:rPr>
              <w:t xml:space="preserve">fournisseur et le </w:t>
            </w:r>
            <w:r w:rsidR="00C64B97" w:rsidRPr="00DC5D41">
              <w:rPr>
                <w:rFonts w:ascii="Century Gothic" w:hAnsi="Century Gothic"/>
                <w:sz w:val="22"/>
                <w:szCs w:val="22"/>
              </w:rPr>
              <w:t>9</w:t>
            </w:r>
            <w:r w:rsidR="00DC5D41">
              <w:rPr>
                <w:rFonts w:ascii="Century Gothic" w:hAnsi="Century Gothic"/>
                <w:sz w:val="22"/>
                <w:szCs w:val="22"/>
              </w:rPr>
              <w:t>1</w:t>
            </w:r>
            <w:r w:rsidR="007622E8" w:rsidRPr="00DC5D41">
              <w:rPr>
                <w:rFonts w:ascii="Century Gothic" w:hAnsi="Century Gothic"/>
                <w:sz w:val="22"/>
                <w:szCs w:val="22"/>
                <w:vertAlign w:val="superscript"/>
              </w:rPr>
              <w:t>ème</w:t>
            </w:r>
            <w:r w:rsidR="007622E8" w:rsidRPr="00DC5D41">
              <w:rPr>
                <w:rFonts w:ascii="Century Gothic" w:hAnsi="Century Gothic"/>
                <w:sz w:val="22"/>
                <w:szCs w:val="22"/>
              </w:rPr>
              <w:t xml:space="preserve"> </w:t>
            </w:r>
            <w:r w:rsidR="002201DD" w:rsidRPr="00DC5D41">
              <w:rPr>
                <w:rFonts w:ascii="Century Gothic" w:hAnsi="Century Gothic"/>
                <w:sz w:val="22"/>
                <w:szCs w:val="22"/>
              </w:rPr>
              <w:t xml:space="preserve">client </w:t>
            </w:r>
            <w:r w:rsidR="009C066F" w:rsidRPr="00DC5D41">
              <w:rPr>
                <w:rFonts w:ascii="Century Gothic" w:hAnsi="Century Gothic"/>
                <w:sz w:val="22"/>
                <w:szCs w:val="22"/>
              </w:rPr>
              <w:t>de la Côte d’Ivoire</w:t>
            </w:r>
            <w:r w:rsidR="00DE5B48" w:rsidRPr="00DC5D41">
              <w:rPr>
                <w:rFonts w:ascii="Century Gothic" w:hAnsi="Century Gothic"/>
                <w:sz w:val="22"/>
                <w:szCs w:val="22"/>
              </w:rPr>
              <w:t xml:space="preserve"> en 2017.</w:t>
            </w:r>
          </w:p>
          <w:p w:rsidR="009604DF" w:rsidRDefault="004C2DCD" w:rsidP="00331B8C">
            <w:pPr>
              <w:pStyle w:val="spip"/>
              <w:spacing w:before="60" w:beforeAutospacing="0" w:after="60" w:afterAutospacing="0" w:line="276" w:lineRule="auto"/>
              <w:jc w:val="both"/>
              <w:rPr>
                <w:rFonts w:ascii="Century Gothic" w:hAnsi="Century Gothic"/>
                <w:sz w:val="22"/>
                <w:szCs w:val="22"/>
              </w:rPr>
            </w:pPr>
            <w:r w:rsidRPr="00DC5D41">
              <w:rPr>
                <w:rFonts w:ascii="Century Gothic" w:hAnsi="Century Gothic"/>
                <w:sz w:val="22"/>
                <w:szCs w:val="22"/>
              </w:rPr>
              <w:t>Le</w:t>
            </w:r>
            <w:r w:rsidR="00126336" w:rsidRPr="00DC5D41">
              <w:rPr>
                <w:rFonts w:ascii="Century Gothic" w:hAnsi="Century Gothic"/>
                <w:sz w:val="22"/>
                <w:szCs w:val="22"/>
              </w:rPr>
              <w:t>s</w:t>
            </w:r>
            <w:r w:rsidRPr="00DC5D41">
              <w:rPr>
                <w:rFonts w:ascii="Century Gothic" w:hAnsi="Century Gothic"/>
                <w:sz w:val="22"/>
                <w:szCs w:val="22"/>
              </w:rPr>
              <w:t xml:space="preserve"> produit</w:t>
            </w:r>
            <w:r w:rsidR="00126336" w:rsidRPr="00DC5D41">
              <w:rPr>
                <w:rFonts w:ascii="Century Gothic" w:hAnsi="Century Gothic"/>
                <w:sz w:val="22"/>
                <w:szCs w:val="22"/>
              </w:rPr>
              <w:t>s</w:t>
            </w:r>
            <w:r w:rsidRPr="00DC5D41">
              <w:rPr>
                <w:rFonts w:ascii="Century Gothic" w:hAnsi="Century Gothic"/>
                <w:sz w:val="22"/>
                <w:szCs w:val="22"/>
              </w:rPr>
              <w:t xml:space="preserve"> exporté</w:t>
            </w:r>
            <w:r w:rsidR="00126336" w:rsidRPr="00DC5D41">
              <w:rPr>
                <w:rFonts w:ascii="Century Gothic" w:hAnsi="Century Gothic"/>
                <w:sz w:val="22"/>
                <w:szCs w:val="22"/>
              </w:rPr>
              <w:t>s</w:t>
            </w:r>
            <w:r w:rsidR="00331B8C" w:rsidRPr="00DC5D41">
              <w:rPr>
                <w:rFonts w:ascii="Century Gothic" w:hAnsi="Century Gothic"/>
                <w:sz w:val="22"/>
                <w:szCs w:val="22"/>
              </w:rPr>
              <w:t xml:space="preserve"> par la Côte d’Ivoire vers </w:t>
            </w:r>
            <w:r w:rsidR="00A80E8E" w:rsidRPr="00DC5D41">
              <w:rPr>
                <w:rFonts w:ascii="Century Gothic" w:hAnsi="Century Gothic"/>
                <w:sz w:val="22"/>
                <w:szCs w:val="22"/>
              </w:rPr>
              <w:t xml:space="preserve">la </w:t>
            </w:r>
            <w:r w:rsidR="00C21E11" w:rsidRPr="00DC5D41">
              <w:rPr>
                <w:rFonts w:ascii="Century Gothic" w:hAnsi="Century Gothic"/>
                <w:sz w:val="22"/>
                <w:szCs w:val="22"/>
              </w:rPr>
              <w:t xml:space="preserve">Finlande </w:t>
            </w:r>
            <w:r w:rsidR="00126336" w:rsidRPr="00DC5D41">
              <w:rPr>
                <w:rFonts w:ascii="Century Gothic" w:hAnsi="Century Gothic"/>
                <w:sz w:val="22"/>
                <w:szCs w:val="22"/>
              </w:rPr>
              <w:t>sont le caoutchouc et le bois transformé</w:t>
            </w:r>
            <w:r w:rsidR="00263E41" w:rsidRPr="00DC5D41">
              <w:rPr>
                <w:rFonts w:ascii="Century Gothic" w:hAnsi="Century Gothic"/>
                <w:sz w:val="22"/>
                <w:szCs w:val="22"/>
              </w:rPr>
              <w:t xml:space="preserve">. </w:t>
            </w:r>
          </w:p>
          <w:p w:rsidR="00331B8C" w:rsidRPr="00DC5D41" w:rsidRDefault="00263E41" w:rsidP="00331B8C">
            <w:pPr>
              <w:pStyle w:val="spip"/>
              <w:spacing w:before="60" w:beforeAutospacing="0" w:after="60" w:afterAutospacing="0" w:line="276" w:lineRule="auto"/>
              <w:jc w:val="both"/>
              <w:rPr>
                <w:rFonts w:ascii="Century Gothic" w:hAnsi="Century Gothic"/>
                <w:sz w:val="22"/>
                <w:szCs w:val="22"/>
              </w:rPr>
            </w:pPr>
            <w:r w:rsidRPr="00DC5D41">
              <w:rPr>
                <w:rFonts w:ascii="Century Gothic" w:hAnsi="Century Gothic"/>
                <w:sz w:val="22"/>
                <w:szCs w:val="22"/>
              </w:rPr>
              <w:t>Les</w:t>
            </w:r>
            <w:r w:rsidR="00331B8C" w:rsidRPr="00DC5D41">
              <w:rPr>
                <w:rFonts w:ascii="Century Gothic" w:hAnsi="Century Gothic"/>
                <w:sz w:val="22"/>
                <w:szCs w:val="22"/>
              </w:rPr>
              <w:t xml:space="preserve"> produits importés </w:t>
            </w:r>
            <w:r w:rsidR="004C2DCD" w:rsidRPr="00DC5D41">
              <w:rPr>
                <w:rFonts w:ascii="Century Gothic" w:hAnsi="Century Gothic"/>
                <w:sz w:val="22"/>
                <w:szCs w:val="22"/>
              </w:rPr>
              <w:t>de</w:t>
            </w:r>
            <w:r w:rsidR="002201DD" w:rsidRPr="00DC5D41">
              <w:rPr>
                <w:rFonts w:ascii="Century Gothic" w:hAnsi="Century Gothic"/>
                <w:sz w:val="22"/>
                <w:szCs w:val="22"/>
              </w:rPr>
              <w:t xml:space="preserve"> </w:t>
            </w:r>
            <w:r w:rsidR="00D61D28" w:rsidRPr="00DC5D41">
              <w:rPr>
                <w:rFonts w:ascii="Century Gothic" w:hAnsi="Century Gothic"/>
                <w:sz w:val="22"/>
                <w:szCs w:val="22"/>
              </w:rPr>
              <w:t xml:space="preserve">la </w:t>
            </w:r>
            <w:r w:rsidR="00C21E11" w:rsidRPr="00DC5D41">
              <w:rPr>
                <w:rFonts w:ascii="Century Gothic" w:hAnsi="Century Gothic"/>
                <w:sz w:val="22"/>
                <w:szCs w:val="22"/>
              </w:rPr>
              <w:t>Finlande</w:t>
            </w:r>
            <w:r w:rsidRPr="00DC5D41">
              <w:rPr>
                <w:rFonts w:ascii="Century Gothic" w:hAnsi="Century Gothic"/>
                <w:sz w:val="22"/>
                <w:szCs w:val="22"/>
              </w:rPr>
              <w:t xml:space="preserve"> par la Côte d’Ivoire </w:t>
            </w:r>
            <w:r w:rsidR="00331B8C" w:rsidRPr="00DC5D41">
              <w:rPr>
                <w:rFonts w:ascii="Century Gothic" w:hAnsi="Century Gothic"/>
                <w:sz w:val="22"/>
                <w:szCs w:val="22"/>
              </w:rPr>
              <w:t xml:space="preserve">sont </w:t>
            </w:r>
            <w:r w:rsidRPr="00DC5D41">
              <w:rPr>
                <w:rFonts w:ascii="Century Gothic" w:hAnsi="Century Gothic"/>
                <w:sz w:val="22"/>
                <w:szCs w:val="22"/>
              </w:rPr>
              <w:t xml:space="preserve">les </w:t>
            </w:r>
            <w:r w:rsidR="00057DF5" w:rsidRPr="00DC5D41">
              <w:rPr>
                <w:rFonts w:ascii="Century Gothic" w:hAnsi="Century Gothic"/>
                <w:sz w:val="22"/>
                <w:szCs w:val="22"/>
              </w:rPr>
              <w:t xml:space="preserve">machines </w:t>
            </w:r>
            <w:r w:rsidR="0060236F" w:rsidRPr="00DC5D41">
              <w:rPr>
                <w:rFonts w:ascii="Century Gothic" w:hAnsi="Century Gothic"/>
                <w:sz w:val="22"/>
                <w:szCs w:val="22"/>
              </w:rPr>
              <w:t>mécaniques</w:t>
            </w:r>
            <w:r w:rsidR="00057DF5" w:rsidRPr="00DC5D41">
              <w:rPr>
                <w:rFonts w:ascii="Century Gothic" w:hAnsi="Century Gothic"/>
                <w:sz w:val="22"/>
                <w:szCs w:val="22"/>
              </w:rPr>
              <w:t>,</w:t>
            </w:r>
            <w:r w:rsidR="0060236F" w:rsidRPr="00DC5D41">
              <w:rPr>
                <w:rFonts w:ascii="Century Gothic" w:hAnsi="Century Gothic"/>
                <w:sz w:val="22"/>
                <w:szCs w:val="22"/>
              </w:rPr>
              <w:t xml:space="preserve"> papiers et cartons,</w:t>
            </w:r>
            <w:r w:rsidR="00057DF5" w:rsidRPr="00DC5D41">
              <w:rPr>
                <w:rFonts w:ascii="Century Gothic" w:hAnsi="Century Gothic"/>
                <w:sz w:val="22"/>
                <w:szCs w:val="22"/>
              </w:rPr>
              <w:t xml:space="preserve"> </w:t>
            </w:r>
            <w:r w:rsidR="0060236F" w:rsidRPr="00DC5D41">
              <w:rPr>
                <w:rFonts w:ascii="Century Gothic" w:hAnsi="Century Gothic"/>
                <w:sz w:val="22"/>
                <w:szCs w:val="22"/>
              </w:rPr>
              <w:t xml:space="preserve">machines </w:t>
            </w:r>
            <w:r w:rsidR="00706B94" w:rsidRPr="00DC5D41">
              <w:rPr>
                <w:rFonts w:ascii="Century Gothic" w:hAnsi="Century Gothic"/>
                <w:sz w:val="22"/>
                <w:szCs w:val="22"/>
              </w:rPr>
              <w:t>électriques</w:t>
            </w:r>
            <w:r w:rsidR="00057DF5" w:rsidRPr="00DC5D41">
              <w:rPr>
                <w:rFonts w:ascii="Century Gothic" w:hAnsi="Century Gothic"/>
                <w:sz w:val="22"/>
                <w:szCs w:val="22"/>
              </w:rPr>
              <w:t xml:space="preserve">, </w:t>
            </w:r>
            <w:r w:rsidR="00126336" w:rsidRPr="00DC5D41">
              <w:rPr>
                <w:rFonts w:ascii="Century Gothic" w:hAnsi="Century Gothic"/>
                <w:sz w:val="22"/>
                <w:szCs w:val="22"/>
              </w:rPr>
              <w:t>engrais</w:t>
            </w:r>
            <w:r w:rsidR="0060236F" w:rsidRPr="00DC5D41">
              <w:rPr>
                <w:rFonts w:ascii="Century Gothic" w:hAnsi="Century Gothic"/>
                <w:sz w:val="22"/>
                <w:szCs w:val="22"/>
              </w:rPr>
              <w:t xml:space="preserve">, </w:t>
            </w:r>
            <w:r w:rsidR="00057DF5" w:rsidRPr="00DC5D41">
              <w:rPr>
                <w:rFonts w:ascii="Century Gothic" w:hAnsi="Century Gothic"/>
                <w:sz w:val="22"/>
                <w:szCs w:val="22"/>
              </w:rPr>
              <w:t xml:space="preserve">appareils </w:t>
            </w:r>
            <w:r w:rsidR="00706B94" w:rsidRPr="00DC5D41">
              <w:rPr>
                <w:rFonts w:ascii="Century Gothic" w:hAnsi="Century Gothic"/>
                <w:sz w:val="22"/>
                <w:szCs w:val="22"/>
              </w:rPr>
              <w:t>électro-ménagers</w:t>
            </w:r>
            <w:r w:rsidR="0060236F" w:rsidRPr="00DC5D41">
              <w:rPr>
                <w:rFonts w:ascii="Century Gothic" w:hAnsi="Century Gothic"/>
                <w:sz w:val="22"/>
                <w:szCs w:val="22"/>
              </w:rPr>
              <w:t>.</w:t>
            </w:r>
          </w:p>
          <w:p w:rsidR="00331B8C" w:rsidRDefault="00331B8C" w:rsidP="00331B8C">
            <w:pPr>
              <w:spacing w:before="60" w:after="60"/>
              <w:jc w:val="both"/>
              <w:rPr>
                <w:rFonts w:ascii="Century Gothic" w:hAnsi="Century Gothic"/>
              </w:rPr>
            </w:pPr>
            <w:r w:rsidRPr="00DC5D41">
              <w:rPr>
                <w:rFonts w:ascii="Century Gothic" w:hAnsi="Century Gothic"/>
              </w:rPr>
              <w:t>L’évolution de la balance commerciale sur la période 201</w:t>
            </w:r>
            <w:r w:rsidR="002201DD" w:rsidRPr="00DC5D41">
              <w:rPr>
                <w:rFonts w:ascii="Century Gothic" w:hAnsi="Century Gothic"/>
              </w:rPr>
              <w:t>3</w:t>
            </w:r>
            <w:r w:rsidRPr="00DC5D41">
              <w:rPr>
                <w:rFonts w:ascii="Century Gothic" w:hAnsi="Century Gothic"/>
              </w:rPr>
              <w:t>-201</w:t>
            </w:r>
            <w:r w:rsidR="002201DD" w:rsidRPr="00DC5D41">
              <w:rPr>
                <w:rFonts w:ascii="Century Gothic" w:hAnsi="Century Gothic"/>
              </w:rPr>
              <w:t>7</w:t>
            </w:r>
            <w:r w:rsidRPr="00DC5D41">
              <w:rPr>
                <w:rFonts w:ascii="Century Gothic" w:hAnsi="Century Gothic"/>
              </w:rPr>
              <w:t xml:space="preserve"> laisse apparaître de</w:t>
            </w:r>
            <w:r w:rsidR="004C6D2A" w:rsidRPr="00DC5D41">
              <w:rPr>
                <w:rFonts w:ascii="Century Gothic" w:hAnsi="Century Gothic"/>
              </w:rPr>
              <w:t xml:space="preserve">s </w:t>
            </w:r>
            <w:r w:rsidRPr="00DC5D41">
              <w:rPr>
                <w:rFonts w:ascii="Century Gothic" w:hAnsi="Century Gothic"/>
              </w:rPr>
              <w:t>déficits pour la C</w:t>
            </w:r>
            <w:bookmarkStart w:id="0" w:name="_GoBack"/>
            <w:bookmarkEnd w:id="0"/>
            <w:r w:rsidRPr="00DC5D41">
              <w:rPr>
                <w:rFonts w:ascii="Century Gothic" w:hAnsi="Century Gothic"/>
              </w:rPr>
              <w:t xml:space="preserve">ôte </w:t>
            </w:r>
            <w:r w:rsidR="00386E8F" w:rsidRPr="00DC5D41">
              <w:rPr>
                <w:rFonts w:ascii="Century Gothic" w:hAnsi="Century Gothic"/>
              </w:rPr>
              <w:t>d’Ivoire.</w:t>
            </w:r>
          </w:p>
          <w:p w:rsidR="004C4C1B" w:rsidRDefault="004C4C1B" w:rsidP="00331B8C">
            <w:pPr>
              <w:spacing w:before="60" w:after="60"/>
              <w:jc w:val="both"/>
              <w:rPr>
                <w:rFonts w:ascii="Century Gothic" w:hAnsi="Century Gothic"/>
              </w:rPr>
            </w:pPr>
          </w:p>
          <w:p w:rsidR="004C4C1B" w:rsidRDefault="004C4C1B" w:rsidP="00331B8C">
            <w:pPr>
              <w:spacing w:before="60" w:after="60"/>
              <w:jc w:val="both"/>
              <w:rPr>
                <w:rFonts w:ascii="Century Gothic" w:hAnsi="Century Gothic"/>
              </w:rPr>
            </w:pPr>
          </w:p>
          <w:p w:rsidR="004C4C1B" w:rsidRDefault="004C4C1B" w:rsidP="00331B8C">
            <w:pPr>
              <w:spacing w:before="60" w:after="60"/>
              <w:jc w:val="both"/>
              <w:rPr>
                <w:rFonts w:ascii="Century Gothic" w:hAnsi="Century Gothic"/>
              </w:rPr>
            </w:pPr>
          </w:p>
          <w:p w:rsidR="004C4C1B" w:rsidRPr="00DC5D41" w:rsidRDefault="004C4C1B" w:rsidP="00331B8C">
            <w:pPr>
              <w:spacing w:before="60" w:after="60"/>
              <w:jc w:val="both"/>
              <w:rPr>
                <w:rFonts w:ascii="Century Gothic" w:hAnsi="Century Gothic"/>
              </w:rPr>
            </w:pPr>
          </w:p>
          <w:p w:rsidR="00331B8C" w:rsidRPr="00300D34" w:rsidRDefault="00331B8C" w:rsidP="00300D34">
            <w:pPr>
              <w:spacing w:after="0"/>
              <w:ind w:left="1170" w:hanging="1170"/>
              <w:jc w:val="both"/>
              <w:rPr>
                <w:rFonts w:ascii="Century Gothic" w:hAnsi="Century Gothic" w:cs="Arial"/>
              </w:rPr>
            </w:pPr>
            <w:r w:rsidRPr="00DC5D41">
              <w:rPr>
                <w:rFonts w:ascii="Century Gothic" w:hAnsi="Century Gothic" w:cs="Arial"/>
                <w:b/>
                <w:u w:val="single"/>
              </w:rPr>
              <w:t>Tableau</w:t>
            </w:r>
            <w:r w:rsidR="00263E41" w:rsidRPr="00DC5D41">
              <w:rPr>
                <w:rFonts w:ascii="Century Gothic" w:hAnsi="Century Gothic" w:cs="Arial"/>
                <w:b/>
                <w:u w:val="single"/>
              </w:rPr>
              <w:t xml:space="preserve"> 1</w:t>
            </w:r>
            <w:r w:rsidRPr="00300D34">
              <w:rPr>
                <w:rFonts w:ascii="Century Gothic" w:hAnsi="Century Gothic" w:cs="Arial"/>
                <w:b/>
              </w:rPr>
              <w:t xml:space="preserve"> : Evolution de la balance commerciale entre </w:t>
            </w:r>
            <w:r w:rsidR="003848FD" w:rsidRPr="00300D34">
              <w:rPr>
                <w:rFonts w:ascii="Century Gothic" w:hAnsi="Century Gothic" w:cs="Arial"/>
                <w:b/>
              </w:rPr>
              <w:t xml:space="preserve">la </w:t>
            </w:r>
            <w:r w:rsidR="00C21E11" w:rsidRPr="00300D34">
              <w:rPr>
                <w:rFonts w:ascii="Century Gothic" w:hAnsi="Century Gothic" w:cs="Arial"/>
                <w:b/>
              </w:rPr>
              <w:t>Finlande</w:t>
            </w:r>
            <w:r w:rsidR="003848FD" w:rsidRPr="00300D34">
              <w:rPr>
                <w:rFonts w:ascii="Century Gothic" w:hAnsi="Century Gothic" w:cs="Arial"/>
                <w:b/>
              </w:rPr>
              <w:t xml:space="preserve"> </w:t>
            </w:r>
            <w:r w:rsidRPr="00300D34">
              <w:rPr>
                <w:rFonts w:ascii="Century Gothic" w:hAnsi="Century Gothic" w:cs="Arial"/>
                <w:b/>
              </w:rPr>
              <w:t>et la Côte</w:t>
            </w:r>
            <w:r w:rsidR="003848FD" w:rsidRPr="00300D34">
              <w:rPr>
                <w:rFonts w:ascii="Century Gothic" w:hAnsi="Century Gothic" w:cs="Arial"/>
                <w:b/>
              </w:rPr>
              <w:t xml:space="preserve"> </w:t>
            </w:r>
            <w:r w:rsidR="002201DD" w:rsidRPr="00300D34">
              <w:rPr>
                <w:rFonts w:ascii="Century Gothic" w:hAnsi="Century Gothic" w:cs="Arial"/>
                <w:b/>
              </w:rPr>
              <w:t>d’Ivoire de 2013</w:t>
            </w:r>
            <w:r w:rsidRPr="00300D34">
              <w:rPr>
                <w:rFonts w:ascii="Century Gothic" w:hAnsi="Century Gothic" w:cs="Arial"/>
                <w:b/>
              </w:rPr>
              <w:t xml:space="preserve"> </w:t>
            </w:r>
            <w:r w:rsidR="002201DD" w:rsidRPr="00300D34">
              <w:rPr>
                <w:rFonts w:ascii="Century Gothic" w:hAnsi="Century Gothic" w:cs="Arial"/>
                <w:b/>
              </w:rPr>
              <w:t>à 2017</w:t>
            </w:r>
            <w:r w:rsidRPr="00300D34">
              <w:rPr>
                <w:rFonts w:ascii="Century Gothic" w:hAnsi="Century Gothic" w:cs="Arial"/>
                <w:b/>
              </w:rPr>
              <w:t xml:space="preserve"> </w:t>
            </w:r>
            <w:r w:rsidRPr="00300D34">
              <w:rPr>
                <w:rFonts w:ascii="Century Gothic" w:hAnsi="Century Gothic" w:cs="Arial"/>
              </w:rPr>
              <w:t>(en millions de francs CFA)</w:t>
            </w:r>
          </w:p>
          <w:p w:rsidR="00331B8C" w:rsidRPr="00DC5D41" w:rsidRDefault="00331B8C" w:rsidP="00331B8C">
            <w:pPr>
              <w:spacing w:after="0"/>
              <w:jc w:val="both"/>
              <w:rPr>
                <w:rFonts w:ascii="Century Gothic" w:hAnsi="Century Gothic" w:cs="Arial"/>
                <w:b/>
                <w:sz w:val="14"/>
              </w:rPr>
            </w:pPr>
          </w:p>
          <w:tbl>
            <w:tblPr>
              <w:tblW w:w="7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1071"/>
              <w:gridCol w:w="1072"/>
              <w:gridCol w:w="1071"/>
              <w:gridCol w:w="1072"/>
              <w:gridCol w:w="1072"/>
            </w:tblGrid>
            <w:tr w:rsidR="002201DD" w:rsidRPr="00DC5D41" w:rsidTr="006775C4">
              <w:trPr>
                <w:trHeight w:val="505"/>
                <w:jc w:val="center"/>
              </w:trPr>
              <w:tc>
                <w:tcPr>
                  <w:tcW w:w="2323" w:type="dxa"/>
                  <w:tcBorders>
                    <w:top w:val="nil"/>
                    <w:left w:val="nil"/>
                  </w:tcBorders>
                  <w:vAlign w:val="center"/>
                </w:tcPr>
                <w:p w:rsidR="002201DD" w:rsidRPr="00DC5D41" w:rsidRDefault="002201DD" w:rsidP="006775C4">
                  <w:pPr>
                    <w:spacing w:after="0"/>
                    <w:jc w:val="center"/>
                    <w:rPr>
                      <w:rFonts w:ascii="Century Gothic" w:hAnsi="Century Gothic" w:cs="Arial"/>
                    </w:rPr>
                  </w:pPr>
                </w:p>
              </w:tc>
              <w:tc>
                <w:tcPr>
                  <w:tcW w:w="1071" w:type="dxa"/>
                  <w:shd w:val="clear" w:color="auto" w:fill="70AD47" w:themeFill="accent6"/>
                  <w:vAlign w:val="center"/>
                </w:tcPr>
                <w:p w:rsidR="002201DD" w:rsidRPr="00DC5D41" w:rsidRDefault="002201DD" w:rsidP="006775C4">
                  <w:pPr>
                    <w:spacing w:after="0"/>
                    <w:jc w:val="center"/>
                    <w:rPr>
                      <w:rFonts w:ascii="Century Gothic" w:hAnsi="Century Gothic" w:cs="Arial"/>
                      <w:b/>
                    </w:rPr>
                  </w:pPr>
                  <w:r w:rsidRPr="00DC5D41">
                    <w:rPr>
                      <w:rFonts w:ascii="Century Gothic" w:hAnsi="Century Gothic" w:cs="Arial"/>
                      <w:b/>
                    </w:rPr>
                    <w:t>2013</w:t>
                  </w:r>
                </w:p>
              </w:tc>
              <w:tc>
                <w:tcPr>
                  <w:tcW w:w="1072" w:type="dxa"/>
                  <w:shd w:val="clear" w:color="auto" w:fill="70AD47" w:themeFill="accent6"/>
                  <w:vAlign w:val="center"/>
                </w:tcPr>
                <w:p w:rsidR="002201DD" w:rsidRPr="00DC5D41" w:rsidRDefault="002201DD" w:rsidP="006775C4">
                  <w:pPr>
                    <w:spacing w:after="0"/>
                    <w:jc w:val="center"/>
                    <w:rPr>
                      <w:rFonts w:ascii="Century Gothic" w:hAnsi="Century Gothic" w:cs="Arial"/>
                      <w:b/>
                    </w:rPr>
                  </w:pPr>
                  <w:r w:rsidRPr="00DC5D41">
                    <w:rPr>
                      <w:rFonts w:ascii="Century Gothic" w:hAnsi="Century Gothic" w:cs="Arial"/>
                      <w:b/>
                    </w:rPr>
                    <w:t>2014</w:t>
                  </w:r>
                </w:p>
              </w:tc>
              <w:tc>
                <w:tcPr>
                  <w:tcW w:w="1071" w:type="dxa"/>
                  <w:shd w:val="clear" w:color="auto" w:fill="70AD47" w:themeFill="accent6"/>
                  <w:vAlign w:val="center"/>
                </w:tcPr>
                <w:p w:rsidR="002201DD" w:rsidRPr="00DC5D41" w:rsidRDefault="002201DD" w:rsidP="006775C4">
                  <w:pPr>
                    <w:spacing w:after="0"/>
                    <w:jc w:val="center"/>
                    <w:rPr>
                      <w:rFonts w:ascii="Century Gothic" w:hAnsi="Century Gothic" w:cs="Arial"/>
                      <w:b/>
                    </w:rPr>
                  </w:pPr>
                  <w:r w:rsidRPr="00DC5D41">
                    <w:rPr>
                      <w:rFonts w:ascii="Century Gothic" w:hAnsi="Century Gothic" w:cs="Arial"/>
                      <w:b/>
                    </w:rPr>
                    <w:t>2015</w:t>
                  </w:r>
                </w:p>
              </w:tc>
              <w:tc>
                <w:tcPr>
                  <w:tcW w:w="1072" w:type="dxa"/>
                  <w:shd w:val="clear" w:color="auto" w:fill="70AD47" w:themeFill="accent6"/>
                  <w:vAlign w:val="center"/>
                </w:tcPr>
                <w:p w:rsidR="002201DD" w:rsidRPr="00DC5D41" w:rsidRDefault="002201DD" w:rsidP="006775C4">
                  <w:pPr>
                    <w:spacing w:after="0"/>
                    <w:jc w:val="center"/>
                    <w:rPr>
                      <w:rFonts w:ascii="Century Gothic" w:hAnsi="Century Gothic" w:cs="Arial"/>
                      <w:b/>
                    </w:rPr>
                  </w:pPr>
                  <w:r w:rsidRPr="00DC5D41">
                    <w:rPr>
                      <w:rFonts w:ascii="Century Gothic" w:hAnsi="Century Gothic" w:cs="Arial"/>
                      <w:b/>
                    </w:rPr>
                    <w:t>2016</w:t>
                  </w:r>
                </w:p>
              </w:tc>
              <w:tc>
                <w:tcPr>
                  <w:tcW w:w="1072" w:type="dxa"/>
                  <w:shd w:val="clear" w:color="auto" w:fill="70AD47" w:themeFill="accent6"/>
                  <w:vAlign w:val="center"/>
                </w:tcPr>
                <w:p w:rsidR="002201DD" w:rsidRPr="00DC5D41" w:rsidRDefault="002201DD" w:rsidP="006775C4">
                  <w:pPr>
                    <w:spacing w:after="0"/>
                    <w:jc w:val="center"/>
                    <w:rPr>
                      <w:rFonts w:ascii="Century Gothic" w:hAnsi="Century Gothic" w:cs="Arial"/>
                      <w:b/>
                    </w:rPr>
                  </w:pPr>
                  <w:r w:rsidRPr="00DC5D41">
                    <w:rPr>
                      <w:rFonts w:ascii="Century Gothic" w:hAnsi="Century Gothic" w:cs="Arial"/>
                      <w:b/>
                    </w:rPr>
                    <w:t>2017</w:t>
                  </w:r>
                </w:p>
              </w:tc>
            </w:tr>
            <w:tr w:rsidR="002201DD" w:rsidRPr="00DC5D41" w:rsidTr="006775C4">
              <w:trPr>
                <w:trHeight w:val="505"/>
                <w:jc w:val="center"/>
              </w:trPr>
              <w:tc>
                <w:tcPr>
                  <w:tcW w:w="2323" w:type="dxa"/>
                  <w:vAlign w:val="center"/>
                </w:tcPr>
                <w:p w:rsidR="002201DD" w:rsidRPr="006775C4" w:rsidRDefault="002201DD" w:rsidP="006775C4">
                  <w:pPr>
                    <w:spacing w:after="0"/>
                    <w:rPr>
                      <w:rFonts w:ascii="Century Gothic" w:hAnsi="Century Gothic" w:cs="Arial"/>
                      <w:b/>
                    </w:rPr>
                  </w:pPr>
                  <w:r w:rsidRPr="006775C4">
                    <w:rPr>
                      <w:rFonts w:ascii="Century Gothic" w:hAnsi="Century Gothic" w:cs="Arial"/>
                      <w:b/>
                    </w:rPr>
                    <w:t>Exportations</w:t>
                  </w:r>
                </w:p>
              </w:tc>
              <w:tc>
                <w:tcPr>
                  <w:tcW w:w="1071" w:type="dxa"/>
                  <w:vAlign w:val="center"/>
                </w:tcPr>
                <w:p w:rsidR="002201DD" w:rsidRPr="00DC5D41" w:rsidRDefault="00126336" w:rsidP="006775C4">
                  <w:pPr>
                    <w:spacing w:after="0"/>
                    <w:jc w:val="center"/>
                    <w:rPr>
                      <w:rFonts w:ascii="Century Gothic" w:hAnsi="Century Gothic" w:cs="Arial"/>
                    </w:rPr>
                  </w:pPr>
                  <w:r w:rsidRPr="00DC5D41">
                    <w:rPr>
                      <w:rFonts w:ascii="Century Gothic" w:hAnsi="Century Gothic" w:cs="Arial"/>
                    </w:rPr>
                    <w:t>226</w:t>
                  </w:r>
                </w:p>
              </w:tc>
              <w:tc>
                <w:tcPr>
                  <w:tcW w:w="1072" w:type="dxa"/>
                  <w:vAlign w:val="center"/>
                </w:tcPr>
                <w:p w:rsidR="002201DD" w:rsidRPr="00DC5D41" w:rsidRDefault="00126336" w:rsidP="006775C4">
                  <w:pPr>
                    <w:spacing w:after="0"/>
                    <w:jc w:val="center"/>
                    <w:rPr>
                      <w:rFonts w:ascii="Century Gothic" w:hAnsi="Century Gothic" w:cs="Arial"/>
                    </w:rPr>
                  </w:pPr>
                  <w:r w:rsidRPr="00DC5D41">
                    <w:rPr>
                      <w:rFonts w:ascii="Century Gothic" w:hAnsi="Century Gothic" w:cs="Arial"/>
                    </w:rPr>
                    <w:t>422</w:t>
                  </w:r>
                </w:p>
              </w:tc>
              <w:tc>
                <w:tcPr>
                  <w:tcW w:w="1071" w:type="dxa"/>
                  <w:vAlign w:val="center"/>
                </w:tcPr>
                <w:p w:rsidR="002201DD" w:rsidRPr="00DC5D41" w:rsidRDefault="00126336" w:rsidP="006775C4">
                  <w:pPr>
                    <w:spacing w:after="0"/>
                    <w:jc w:val="center"/>
                    <w:rPr>
                      <w:rFonts w:ascii="Century Gothic" w:hAnsi="Century Gothic" w:cs="Arial"/>
                    </w:rPr>
                  </w:pPr>
                  <w:r w:rsidRPr="00DC5D41">
                    <w:rPr>
                      <w:rFonts w:ascii="Century Gothic" w:hAnsi="Century Gothic" w:cs="Arial"/>
                    </w:rPr>
                    <w:t>582</w:t>
                  </w:r>
                </w:p>
              </w:tc>
              <w:tc>
                <w:tcPr>
                  <w:tcW w:w="1072" w:type="dxa"/>
                  <w:vAlign w:val="center"/>
                </w:tcPr>
                <w:p w:rsidR="002201DD" w:rsidRPr="00DC5D41" w:rsidRDefault="00126336" w:rsidP="006775C4">
                  <w:pPr>
                    <w:spacing w:after="0"/>
                    <w:jc w:val="center"/>
                    <w:rPr>
                      <w:rFonts w:ascii="Century Gothic" w:hAnsi="Century Gothic" w:cs="Arial"/>
                    </w:rPr>
                  </w:pPr>
                  <w:r w:rsidRPr="00DC5D41">
                    <w:rPr>
                      <w:rFonts w:ascii="Century Gothic" w:hAnsi="Century Gothic" w:cs="Arial"/>
                    </w:rPr>
                    <w:t>853</w:t>
                  </w:r>
                </w:p>
              </w:tc>
              <w:tc>
                <w:tcPr>
                  <w:tcW w:w="1072" w:type="dxa"/>
                  <w:vAlign w:val="center"/>
                </w:tcPr>
                <w:p w:rsidR="002201DD" w:rsidRPr="00DC5D41" w:rsidRDefault="00126336" w:rsidP="006775C4">
                  <w:pPr>
                    <w:spacing w:after="0"/>
                    <w:jc w:val="center"/>
                    <w:rPr>
                      <w:rFonts w:ascii="Century Gothic" w:hAnsi="Century Gothic" w:cs="Arial"/>
                    </w:rPr>
                  </w:pPr>
                  <w:r w:rsidRPr="00DC5D41">
                    <w:rPr>
                      <w:rFonts w:ascii="Century Gothic" w:hAnsi="Century Gothic" w:cs="Arial"/>
                    </w:rPr>
                    <w:t>458</w:t>
                  </w:r>
                </w:p>
              </w:tc>
            </w:tr>
            <w:tr w:rsidR="002201DD" w:rsidRPr="00DC5D41" w:rsidTr="006775C4">
              <w:trPr>
                <w:trHeight w:val="505"/>
                <w:jc w:val="center"/>
              </w:trPr>
              <w:tc>
                <w:tcPr>
                  <w:tcW w:w="2323" w:type="dxa"/>
                  <w:vAlign w:val="center"/>
                </w:tcPr>
                <w:p w:rsidR="002201DD" w:rsidRPr="006775C4" w:rsidRDefault="002201DD" w:rsidP="006775C4">
                  <w:pPr>
                    <w:spacing w:after="0"/>
                    <w:rPr>
                      <w:rFonts w:ascii="Century Gothic" w:hAnsi="Century Gothic" w:cs="Arial"/>
                      <w:b/>
                    </w:rPr>
                  </w:pPr>
                  <w:r w:rsidRPr="006775C4">
                    <w:rPr>
                      <w:rFonts w:ascii="Century Gothic" w:hAnsi="Century Gothic" w:cs="Arial"/>
                      <w:b/>
                    </w:rPr>
                    <w:t>Importations</w:t>
                  </w:r>
                </w:p>
              </w:tc>
              <w:tc>
                <w:tcPr>
                  <w:tcW w:w="1071" w:type="dxa"/>
                  <w:vAlign w:val="center"/>
                </w:tcPr>
                <w:p w:rsidR="002201DD" w:rsidRPr="00DC5D41" w:rsidRDefault="00126336" w:rsidP="006775C4">
                  <w:pPr>
                    <w:spacing w:after="0"/>
                    <w:jc w:val="center"/>
                    <w:rPr>
                      <w:rFonts w:ascii="Century Gothic" w:hAnsi="Century Gothic" w:cs="Arial"/>
                    </w:rPr>
                  </w:pPr>
                  <w:r w:rsidRPr="00DC5D41">
                    <w:rPr>
                      <w:rFonts w:ascii="Century Gothic" w:hAnsi="Century Gothic" w:cs="Arial"/>
                    </w:rPr>
                    <w:t>6190</w:t>
                  </w:r>
                </w:p>
              </w:tc>
              <w:tc>
                <w:tcPr>
                  <w:tcW w:w="1072" w:type="dxa"/>
                  <w:vAlign w:val="center"/>
                </w:tcPr>
                <w:p w:rsidR="002201DD" w:rsidRPr="00DC5D41" w:rsidRDefault="00126336" w:rsidP="006775C4">
                  <w:pPr>
                    <w:spacing w:after="0"/>
                    <w:jc w:val="center"/>
                    <w:rPr>
                      <w:rFonts w:ascii="Century Gothic" w:hAnsi="Century Gothic" w:cs="Arial"/>
                    </w:rPr>
                  </w:pPr>
                  <w:r w:rsidRPr="00DC5D41">
                    <w:rPr>
                      <w:rFonts w:ascii="Century Gothic" w:hAnsi="Century Gothic" w:cs="Arial"/>
                    </w:rPr>
                    <w:t>5838</w:t>
                  </w:r>
                </w:p>
              </w:tc>
              <w:tc>
                <w:tcPr>
                  <w:tcW w:w="1071" w:type="dxa"/>
                  <w:vAlign w:val="center"/>
                </w:tcPr>
                <w:p w:rsidR="002201DD" w:rsidRPr="00DC5D41" w:rsidRDefault="00126336" w:rsidP="006775C4">
                  <w:pPr>
                    <w:spacing w:after="0"/>
                    <w:jc w:val="center"/>
                    <w:rPr>
                      <w:rFonts w:ascii="Century Gothic" w:hAnsi="Century Gothic" w:cs="Arial"/>
                    </w:rPr>
                  </w:pPr>
                  <w:r w:rsidRPr="00DC5D41">
                    <w:rPr>
                      <w:rFonts w:ascii="Century Gothic" w:hAnsi="Century Gothic" w:cs="Arial"/>
                    </w:rPr>
                    <w:t>7 149</w:t>
                  </w:r>
                </w:p>
              </w:tc>
              <w:tc>
                <w:tcPr>
                  <w:tcW w:w="1072" w:type="dxa"/>
                  <w:vAlign w:val="center"/>
                </w:tcPr>
                <w:p w:rsidR="002201DD" w:rsidRPr="00DC5D41" w:rsidRDefault="00126336" w:rsidP="006775C4">
                  <w:pPr>
                    <w:spacing w:after="0"/>
                    <w:jc w:val="center"/>
                    <w:rPr>
                      <w:rFonts w:ascii="Century Gothic" w:hAnsi="Century Gothic" w:cs="Arial"/>
                    </w:rPr>
                  </w:pPr>
                  <w:r w:rsidRPr="00DC5D41">
                    <w:rPr>
                      <w:rFonts w:ascii="Century Gothic" w:hAnsi="Century Gothic" w:cs="Arial"/>
                    </w:rPr>
                    <w:t>10 601</w:t>
                  </w:r>
                </w:p>
              </w:tc>
              <w:tc>
                <w:tcPr>
                  <w:tcW w:w="1072" w:type="dxa"/>
                  <w:vAlign w:val="center"/>
                </w:tcPr>
                <w:p w:rsidR="002201DD" w:rsidRPr="00DC5D41" w:rsidRDefault="00126336" w:rsidP="006775C4">
                  <w:pPr>
                    <w:spacing w:after="0"/>
                    <w:jc w:val="center"/>
                    <w:rPr>
                      <w:rFonts w:ascii="Century Gothic" w:hAnsi="Century Gothic" w:cs="Arial"/>
                    </w:rPr>
                  </w:pPr>
                  <w:r w:rsidRPr="00DC5D41">
                    <w:rPr>
                      <w:rFonts w:ascii="Century Gothic" w:hAnsi="Century Gothic" w:cs="Arial"/>
                    </w:rPr>
                    <w:t>12 810</w:t>
                  </w:r>
                </w:p>
              </w:tc>
            </w:tr>
            <w:tr w:rsidR="002201DD" w:rsidRPr="00DC5D41" w:rsidTr="006775C4">
              <w:trPr>
                <w:trHeight w:val="505"/>
                <w:jc w:val="center"/>
              </w:trPr>
              <w:tc>
                <w:tcPr>
                  <w:tcW w:w="2323" w:type="dxa"/>
                  <w:vAlign w:val="center"/>
                </w:tcPr>
                <w:p w:rsidR="002201DD" w:rsidRPr="006775C4" w:rsidRDefault="003D6F94" w:rsidP="006775C4">
                  <w:pPr>
                    <w:spacing w:after="0"/>
                    <w:rPr>
                      <w:rFonts w:ascii="Century Gothic" w:hAnsi="Century Gothic" w:cs="Arial"/>
                      <w:b/>
                    </w:rPr>
                  </w:pPr>
                  <w:r w:rsidRPr="006775C4">
                    <w:rPr>
                      <w:rFonts w:ascii="Century Gothic" w:hAnsi="Century Gothic" w:cs="Arial"/>
                      <w:b/>
                    </w:rPr>
                    <w:t>Solde commercial</w:t>
                  </w:r>
                </w:p>
              </w:tc>
              <w:tc>
                <w:tcPr>
                  <w:tcW w:w="1071" w:type="dxa"/>
                  <w:vAlign w:val="center"/>
                </w:tcPr>
                <w:p w:rsidR="002201DD" w:rsidRPr="00DC5D41" w:rsidRDefault="00386E8F" w:rsidP="006775C4">
                  <w:pPr>
                    <w:spacing w:after="0"/>
                    <w:jc w:val="center"/>
                    <w:rPr>
                      <w:rFonts w:ascii="Century Gothic" w:hAnsi="Century Gothic" w:cs="Arial"/>
                      <w:b/>
                    </w:rPr>
                  </w:pPr>
                  <w:r w:rsidRPr="00DC5D41">
                    <w:rPr>
                      <w:rFonts w:ascii="Century Gothic" w:hAnsi="Century Gothic" w:cs="Arial"/>
                      <w:b/>
                    </w:rPr>
                    <w:t>-</w:t>
                  </w:r>
                  <w:r w:rsidR="0088720A" w:rsidRPr="00DC5D41">
                    <w:rPr>
                      <w:rFonts w:ascii="Century Gothic" w:hAnsi="Century Gothic" w:cs="Arial"/>
                      <w:b/>
                    </w:rPr>
                    <w:t>5 964</w:t>
                  </w:r>
                </w:p>
              </w:tc>
              <w:tc>
                <w:tcPr>
                  <w:tcW w:w="1072" w:type="dxa"/>
                  <w:vAlign w:val="center"/>
                </w:tcPr>
                <w:p w:rsidR="002201DD" w:rsidRPr="00DC5D41" w:rsidRDefault="00386E8F" w:rsidP="006775C4">
                  <w:pPr>
                    <w:spacing w:after="0"/>
                    <w:jc w:val="center"/>
                    <w:rPr>
                      <w:rFonts w:ascii="Century Gothic" w:hAnsi="Century Gothic" w:cs="Arial"/>
                      <w:b/>
                    </w:rPr>
                  </w:pPr>
                  <w:r w:rsidRPr="00DC5D41">
                    <w:rPr>
                      <w:rFonts w:ascii="Century Gothic" w:hAnsi="Century Gothic" w:cs="Arial"/>
                      <w:b/>
                    </w:rPr>
                    <w:t>-</w:t>
                  </w:r>
                  <w:r w:rsidR="0088720A" w:rsidRPr="00DC5D41">
                    <w:rPr>
                      <w:rFonts w:ascii="Century Gothic" w:hAnsi="Century Gothic" w:cs="Arial"/>
                      <w:b/>
                    </w:rPr>
                    <w:t>5 416</w:t>
                  </w:r>
                </w:p>
              </w:tc>
              <w:tc>
                <w:tcPr>
                  <w:tcW w:w="1071" w:type="dxa"/>
                  <w:vAlign w:val="center"/>
                </w:tcPr>
                <w:p w:rsidR="002201DD" w:rsidRPr="00DC5D41" w:rsidRDefault="0088720A" w:rsidP="006775C4">
                  <w:pPr>
                    <w:spacing w:after="0"/>
                    <w:jc w:val="center"/>
                    <w:rPr>
                      <w:rFonts w:ascii="Century Gothic" w:hAnsi="Century Gothic" w:cs="Arial"/>
                      <w:b/>
                    </w:rPr>
                  </w:pPr>
                  <w:r w:rsidRPr="00DC5D41">
                    <w:rPr>
                      <w:rFonts w:ascii="Century Gothic" w:hAnsi="Century Gothic" w:cs="Arial"/>
                      <w:b/>
                    </w:rPr>
                    <w:t>- 6567</w:t>
                  </w:r>
                </w:p>
              </w:tc>
              <w:tc>
                <w:tcPr>
                  <w:tcW w:w="1072" w:type="dxa"/>
                  <w:vAlign w:val="center"/>
                </w:tcPr>
                <w:p w:rsidR="002201DD" w:rsidRPr="00DC5D41" w:rsidRDefault="00BF28BE" w:rsidP="006775C4">
                  <w:pPr>
                    <w:spacing w:after="0"/>
                    <w:jc w:val="center"/>
                    <w:rPr>
                      <w:rFonts w:ascii="Century Gothic" w:hAnsi="Century Gothic" w:cs="Arial"/>
                      <w:b/>
                    </w:rPr>
                  </w:pPr>
                  <w:r w:rsidRPr="00DC5D41">
                    <w:rPr>
                      <w:rFonts w:ascii="Century Gothic" w:hAnsi="Century Gothic" w:cs="Arial"/>
                      <w:b/>
                    </w:rPr>
                    <w:t>-</w:t>
                  </w:r>
                  <w:r w:rsidR="0088720A" w:rsidRPr="00DC5D41">
                    <w:rPr>
                      <w:rFonts w:ascii="Century Gothic" w:hAnsi="Century Gothic" w:cs="Arial"/>
                      <w:b/>
                    </w:rPr>
                    <w:t>9748</w:t>
                  </w:r>
                </w:p>
              </w:tc>
              <w:tc>
                <w:tcPr>
                  <w:tcW w:w="1072" w:type="dxa"/>
                  <w:vAlign w:val="center"/>
                </w:tcPr>
                <w:p w:rsidR="002201DD" w:rsidRPr="00DC5D41" w:rsidRDefault="002201DD" w:rsidP="006775C4">
                  <w:pPr>
                    <w:spacing w:after="0"/>
                    <w:jc w:val="center"/>
                    <w:rPr>
                      <w:rFonts w:ascii="Century Gothic" w:hAnsi="Century Gothic" w:cs="Arial"/>
                      <w:b/>
                    </w:rPr>
                  </w:pPr>
                  <w:r w:rsidRPr="00DC5D41">
                    <w:rPr>
                      <w:rFonts w:ascii="Century Gothic" w:hAnsi="Century Gothic" w:cs="Arial"/>
                      <w:b/>
                    </w:rPr>
                    <w:t>-</w:t>
                  </w:r>
                  <w:r w:rsidR="0088720A" w:rsidRPr="00DC5D41">
                    <w:rPr>
                      <w:rFonts w:ascii="Century Gothic" w:hAnsi="Century Gothic" w:cs="Arial"/>
                      <w:b/>
                    </w:rPr>
                    <w:t>12 352</w:t>
                  </w:r>
                </w:p>
              </w:tc>
            </w:tr>
          </w:tbl>
          <w:p w:rsidR="00331B8C" w:rsidRPr="006775C4" w:rsidRDefault="003A6365" w:rsidP="006775C4">
            <w:pPr>
              <w:pStyle w:val="NormalWeb"/>
              <w:spacing w:before="0" w:beforeAutospacing="0" w:after="240" w:afterAutospacing="0" w:line="276" w:lineRule="auto"/>
              <w:ind w:left="461"/>
              <w:jc w:val="both"/>
              <w:rPr>
                <w:rFonts w:ascii="Century Gothic" w:hAnsi="Century Gothic" w:cs="Arial"/>
                <w:bCs/>
                <w:sz w:val="16"/>
                <w:szCs w:val="16"/>
              </w:rPr>
            </w:pPr>
            <w:r w:rsidRPr="006775C4">
              <w:rPr>
                <w:rFonts w:ascii="Century Gothic" w:hAnsi="Century Gothic" w:cs="Arial"/>
                <w:b/>
                <w:bCs/>
                <w:sz w:val="16"/>
                <w:szCs w:val="16"/>
                <w:u w:val="single"/>
              </w:rPr>
              <w:t>Sources</w:t>
            </w:r>
            <w:r w:rsidRPr="00DC5D41">
              <w:rPr>
                <w:rFonts w:ascii="Century Gothic" w:hAnsi="Century Gothic" w:cs="Arial"/>
                <w:bCs/>
                <w:sz w:val="16"/>
                <w:szCs w:val="16"/>
              </w:rPr>
              <w:t xml:space="preserve"> : DGD ; DGE/DPPSE</w:t>
            </w:r>
          </w:p>
        </w:tc>
      </w:tr>
      <w:tr w:rsidR="00331B8C" w:rsidRPr="00D96460" w:rsidTr="006775C4">
        <w:trPr>
          <w:jc w:val="center"/>
        </w:trPr>
        <w:tc>
          <w:tcPr>
            <w:tcW w:w="1844" w:type="dxa"/>
            <w:vAlign w:val="center"/>
          </w:tcPr>
          <w:p w:rsidR="00331B8C" w:rsidRPr="00215082" w:rsidRDefault="00331B8C" w:rsidP="00331B8C">
            <w:pPr>
              <w:spacing w:before="60" w:after="60"/>
              <w:rPr>
                <w:rFonts w:ascii="Century Gothic" w:hAnsi="Century Gothic"/>
                <w:b/>
                <w:szCs w:val="24"/>
              </w:rPr>
            </w:pPr>
            <w:r>
              <w:rPr>
                <w:rFonts w:ascii="Century Gothic" w:hAnsi="Century Gothic"/>
                <w:b/>
                <w:sz w:val="24"/>
                <w:szCs w:val="24"/>
              </w:rPr>
              <w:lastRenderedPageBreak/>
              <w:t>O</w:t>
            </w:r>
            <w:r w:rsidRPr="00576812">
              <w:rPr>
                <w:rFonts w:ascii="Century Gothic" w:hAnsi="Century Gothic"/>
                <w:b/>
                <w:sz w:val="24"/>
                <w:szCs w:val="24"/>
              </w:rPr>
              <w:t>bservations</w:t>
            </w:r>
          </w:p>
        </w:tc>
        <w:tc>
          <w:tcPr>
            <w:tcW w:w="8788" w:type="dxa"/>
            <w:shd w:val="clear" w:color="auto" w:fill="auto"/>
          </w:tcPr>
          <w:p w:rsidR="00331B8C" w:rsidRPr="006A0712" w:rsidRDefault="00331B8C" w:rsidP="006D0283">
            <w:pPr>
              <w:spacing w:before="120" w:after="120"/>
              <w:jc w:val="both"/>
              <w:rPr>
                <w:rFonts w:ascii="Century Gothic" w:hAnsi="Century Gothic"/>
                <w:lang w:val="fr"/>
              </w:rPr>
            </w:pPr>
            <w:r w:rsidRPr="00EF477A">
              <w:rPr>
                <w:rFonts w:ascii="Century Gothic" w:hAnsi="Century Gothic"/>
                <w:lang w:val="fr"/>
              </w:rPr>
              <w:t xml:space="preserve">Au regard du potentiel économique de la Côte d’Ivoire et des opportunités qu’offre </w:t>
            </w:r>
            <w:r w:rsidR="00A80E8E" w:rsidRPr="00EF477A">
              <w:rPr>
                <w:rFonts w:ascii="Century Gothic" w:hAnsi="Century Gothic"/>
                <w:lang w:val="fr"/>
              </w:rPr>
              <w:t xml:space="preserve">la </w:t>
            </w:r>
            <w:r w:rsidR="00C64B97">
              <w:rPr>
                <w:rFonts w:ascii="Century Gothic" w:hAnsi="Century Gothic"/>
                <w:lang w:val="fr"/>
              </w:rPr>
              <w:t>Finlande</w:t>
            </w:r>
            <w:r w:rsidR="007C3361" w:rsidRPr="00EF477A">
              <w:rPr>
                <w:rFonts w:ascii="Century Gothic" w:hAnsi="Century Gothic"/>
                <w:lang w:val="fr"/>
              </w:rPr>
              <w:t>, il serait souhaitable d’envisager</w:t>
            </w:r>
            <w:r w:rsidR="007C3361">
              <w:rPr>
                <w:rFonts w:ascii="Century Gothic" w:hAnsi="Century Gothic"/>
                <w:lang w:val="fr"/>
              </w:rPr>
              <w:t xml:space="preserve"> des missions de prospections économiques en vue</w:t>
            </w:r>
            <w:r w:rsidR="00F16100">
              <w:rPr>
                <w:rFonts w:ascii="Century Gothic" w:hAnsi="Century Gothic"/>
                <w:lang w:val="fr"/>
              </w:rPr>
              <w:t xml:space="preserve"> de rendr</w:t>
            </w:r>
            <w:r w:rsidR="00DC5D41">
              <w:rPr>
                <w:rFonts w:ascii="Century Gothic" w:hAnsi="Century Gothic"/>
                <w:lang w:val="fr"/>
              </w:rPr>
              <w:t xml:space="preserve">e la coopération plus dynamique. Cela contribuera </w:t>
            </w:r>
            <w:r w:rsidR="003E6BAD" w:rsidRPr="003E6BAD">
              <w:rPr>
                <w:rFonts w:ascii="Century Gothic" w:hAnsi="Century Gothic"/>
              </w:rPr>
              <w:t>au renforcement de la coopération notam</w:t>
            </w:r>
            <w:r w:rsidR="003E6BAD">
              <w:rPr>
                <w:rFonts w:ascii="Century Gothic" w:hAnsi="Century Gothic"/>
              </w:rPr>
              <w:t xml:space="preserve">ment en matière commerciale où </w:t>
            </w:r>
            <w:r w:rsidR="006D0283">
              <w:rPr>
                <w:rFonts w:ascii="Century Gothic" w:hAnsi="Century Gothic"/>
              </w:rPr>
              <w:t xml:space="preserve">existent </w:t>
            </w:r>
            <w:r w:rsidR="003E6BAD" w:rsidRPr="003E6BAD">
              <w:rPr>
                <w:rFonts w:ascii="Century Gothic" w:hAnsi="Century Gothic"/>
              </w:rPr>
              <w:t xml:space="preserve">de grandes </w:t>
            </w:r>
            <w:r w:rsidR="006D0283">
              <w:rPr>
                <w:rFonts w:ascii="Century Gothic" w:hAnsi="Century Gothic"/>
              </w:rPr>
              <w:t>potentialités.</w:t>
            </w:r>
          </w:p>
        </w:tc>
      </w:tr>
    </w:tbl>
    <w:p w:rsidR="006775C4" w:rsidRDefault="006775C4">
      <w:pPr>
        <w:sectPr w:rsidR="006775C4" w:rsidSect="00F00957">
          <w:footerReference w:type="default" r:id="rId13"/>
          <w:pgSz w:w="11906" w:h="16838"/>
          <w:pgMar w:top="720" w:right="720" w:bottom="720" w:left="720" w:header="709" w:footer="709" w:gutter="0"/>
          <w:cols w:space="708"/>
          <w:docGrid w:linePitch="360"/>
        </w:sectPr>
      </w:pPr>
    </w:p>
    <w:p w:rsidR="0038104A" w:rsidRPr="006775C4" w:rsidRDefault="0038104A" w:rsidP="006775C4">
      <w:pPr>
        <w:spacing w:after="120"/>
        <w:rPr>
          <w:rFonts w:ascii="Century Gothic" w:hAnsi="Century Gothic"/>
          <w:b/>
        </w:rPr>
      </w:pPr>
      <w:r w:rsidRPr="006775C4">
        <w:rPr>
          <w:rFonts w:ascii="Century Gothic" w:hAnsi="Century Gothic"/>
          <w:b/>
        </w:rPr>
        <w:lastRenderedPageBreak/>
        <w:t>ANNEXE</w:t>
      </w:r>
      <w:r w:rsidR="006775C4">
        <w:rPr>
          <w:rFonts w:ascii="Century Gothic" w:hAnsi="Century Gothic"/>
          <w:b/>
        </w:rPr>
        <w:t> : Présentation de l’économie Finlandaise</w:t>
      </w:r>
    </w:p>
    <w:p w:rsidR="0038104A" w:rsidRPr="0038104A" w:rsidRDefault="0038104A" w:rsidP="006775C4">
      <w:pPr>
        <w:spacing w:after="120"/>
        <w:jc w:val="both"/>
        <w:rPr>
          <w:rFonts w:ascii="Century Gothic" w:hAnsi="Century Gothic"/>
        </w:rPr>
      </w:pPr>
      <w:r w:rsidRPr="0038104A">
        <w:rPr>
          <w:rFonts w:ascii="Century Gothic" w:hAnsi="Century Gothic"/>
        </w:rPr>
        <w:t xml:space="preserve">Avec une population de 5,5 millions, </w:t>
      </w:r>
      <w:r w:rsidRPr="0038104A">
        <w:rPr>
          <w:rFonts w:ascii="Century Gothic" w:hAnsi="Century Gothic"/>
          <w:lang w:val="fr"/>
        </w:rPr>
        <w:t xml:space="preserve">la </w:t>
      </w:r>
      <w:r w:rsidRPr="0038104A">
        <w:rPr>
          <w:rFonts w:ascii="Century Gothic" w:hAnsi="Century Gothic"/>
        </w:rPr>
        <w:t xml:space="preserve">Finlande </w:t>
      </w:r>
      <w:proofErr w:type="gramStart"/>
      <w:r w:rsidRPr="0038104A">
        <w:rPr>
          <w:rFonts w:ascii="Century Gothic" w:hAnsi="Century Gothic"/>
        </w:rPr>
        <w:t>a</w:t>
      </w:r>
      <w:proofErr w:type="gramEnd"/>
      <w:r w:rsidRPr="0038104A">
        <w:rPr>
          <w:rFonts w:ascii="Century Gothic" w:hAnsi="Century Gothic"/>
        </w:rPr>
        <w:t xml:space="preserve"> un PIB par habitant de 43 482 $US. En 2018, l’activité ralentira légèrement, même si la croissance restera au-dessus de son potentiel. L’investissement privé, bien que plus modéré en 2018, restera un des principaux contributeurs à la croissance, en raison de la faiblesse des taux d’intérêt, conjuguée à une demande domestique et extérieure dynamique. Le taux élevé d’utilisation des capacités de production dans l’industrie forestière et métallurgique favoriserait l’investissement dans ces secteurs. L’investissement en recherche et développement sera également plus dynamique, après plusieurs années de baisse liée au déclin de la téléphonie mobile. En outre, la forte demande dans les principaux pays partenaires (Suède, États-Unis et Allemagne), ainsi que la reprise économique en Russie, favoriseraient les exportations finlandaises. Le dynamisme des commandes dans l’industrie navale et l’achèvement en 2017 de la plus importante usine de transformation de bois du pays (papier, résine, bioénergie, etc.), soutiendront également les exportations. Ainsi, la contribution des échanges à la croissance sera positive en 2018.</w:t>
      </w:r>
    </w:p>
    <w:p w:rsidR="0038104A" w:rsidRPr="0038104A" w:rsidRDefault="0038104A" w:rsidP="006775C4">
      <w:pPr>
        <w:spacing w:after="120"/>
        <w:jc w:val="both"/>
        <w:rPr>
          <w:rFonts w:ascii="Century Gothic" w:hAnsi="Century Gothic"/>
        </w:rPr>
      </w:pPr>
      <w:r w:rsidRPr="0038104A">
        <w:rPr>
          <w:rFonts w:ascii="Century Gothic" w:hAnsi="Century Gothic"/>
        </w:rPr>
        <w:t>La consommation des ménages sera plus dynamique, tirée par une légère hausse des salaires, dans un contexte d’inflation modérée, et par la réduction du chômage (7,3 % en octobre 2017). La faiblesse des taux d’intérêt favorisera également la consommation, même si le poids de la dette (129 % du revenu disponible) pèsera toujours sur la situation financière des ménages.</w:t>
      </w:r>
    </w:p>
    <w:p w:rsidR="0038104A" w:rsidRPr="0038104A" w:rsidRDefault="0038104A" w:rsidP="006775C4">
      <w:pPr>
        <w:spacing w:after="120"/>
        <w:rPr>
          <w:rFonts w:ascii="Century Gothic" w:hAnsi="Century Gothic"/>
          <w:b/>
          <w:bCs/>
          <w:lang w:val="fr"/>
        </w:rPr>
      </w:pPr>
      <w:r w:rsidRPr="0038104A">
        <w:rPr>
          <w:rFonts w:ascii="Century Gothic" w:hAnsi="Century Gothic"/>
          <w:b/>
          <w:lang w:val="fr"/>
        </w:rPr>
        <w:t>Principaux indicateurs macroéconomiques finlandaise</w:t>
      </w:r>
    </w:p>
    <w:tbl>
      <w:tblPr>
        <w:tblW w:w="8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59"/>
        <w:gridCol w:w="1151"/>
        <w:gridCol w:w="1152"/>
        <w:gridCol w:w="1152"/>
        <w:gridCol w:w="1152"/>
      </w:tblGrid>
      <w:tr w:rsidR="0038104A" w:rsidRPr="0038104A" w:rsidTr="006775C4">
        <w:trPr>
          <w:trHeight w:val="503"/>
        </w:trPr>
        <w:tc>
          <w:tcPr>
            <w:tcW w:w="4159" w:type="dxa"/>
            <w:shd w:val="clear" w:color="auto" w:fill="00B050"/>
            <w:vAlign w:val="center"/>
          </w:tcPr>
          <w:p w:rsidR="0038104A" w:rsidRPr="0038104A" w:rsidRDefault="0038104A" w:rsidP="006775C4">
            <w:pPr>
              <w:spacing w:after="0"/>
              <w:rPr>
                <w:rFonts w:ascii="Century Gothic" w:hAnsi="Century Gothic"/>
                <w:lang w:val="fr"/>
              </w:rPr>
            </w:pPr>
            <w:r w:rsidRPr="0038104A">
              <w:rPr>
                <w:rFonts w:ascii="Century Gothic" w:hAnsi="Century Gothic"/>
                <w:lang w:val="fr"/>
              </w:rPr>
              <w:t xml:space="preserve">  </w:t>
            </w:r>
          </w:p>
        </w:tc>
        <w:tc>
          <w:tcPr>
            <w:tcW w:w="1151" w:type="dxa"/>
            <w:shd w:val="clear" w:color="auto" w:fill="00B050"/>
            <w:vAlign w:val="center"/>
          </w:tcPr>
          <w:p w:rsidR="0038104A" w:rsidRPr="006775C4" w:rsidRDefault="0038104A" w:rsidP="006775C4">
            <w:pPr>
              <w:spacing w:after="0"/>
              <w:jc w:val="center"/>
              <w:rPr>
                <w:rFonts w:ascii="Century Gothic" w:hAnsi="Century Gothic"/>
                <w:b/>
                <w:lang w:val="fr"/>
              </w:rPr>
            </w:pPr>
            <w:r w:rsidRPr="006775C4">
              <w:rPr>
                <w:rFonts w:ascii="Century Gothic" w:hAnsi="Century Gothic"/>
                <w:b/>
                <w:lang w:val="fr"/>
              </w:rPr>
              <w:t>2015</w:t>
            </w:r>
          </w:p>
        </w:tc>
        <w:tc>
          <w:tcPr>
            <w:tcW w:w="1152" w:type="dxa"/>
            <w:shd w:val="clear" w:color="auto" w:fill="00B050"/>
            <w:vAlign w:val="center"/>
          </w:tcPr>
          <w:p w:rsidR="0038104A" w:rsidRPr="006775C4" w:rsidRDefault="0038104A" w:rsidP="006775C4">
            <w:pPr>
              <w:spacing w:after="0"/>
              <w:jc w:val="center"/>
              <w:rPr>
                <w:rFonts w:ascii="Century Gothic" w:hAnsi="Century Gothic"/>
                <w:b/>
                <w:lang w:val="fr"/>
              </w:rPr>
            </w:pPr>
            <w:r w:rsidRPr="006775C4">
              <w:rPr>
                <w:rFonts w:ascii="Century Gothic" w:hAnsi="Century Gothic"/>
                <w:b/>
                <w:lang w:val="fr"/>
              </w:rPr>
              <w:t>2016</w:t>
            </w:r>
          </w:p>
        </w:tc>
        <w:tc>
          <w:tcPr>
            <w:tcW w:w="1152" w:type="dxa"/>
            <w:shd w:val="clear" w:color="auto" w:fill="00B050"/>
            <w:vAlign w:val="center"/>
          </w:tcPr>
          <w:p w:rsidR="0038104A" w:rsidRPr="006775C4" w:rsidRDefault="0038104A" w:rsidP="006775C4">
            <w:pPr>
              <w:spacing w:after="0"/>
              <w:jc w:val="center"/>
              <w:rPr>
                <w:rFonts w:ascii="Century Gothic" w:hAnsi="Century Gothic"/>
                <w:b/>
                <w:lang w:val="fr"/>
              </w:rPr>
            </w:pPr>
            <w:r w:rsidRPr="006775C4">
              <w:rPr>
                <w:rFonts w:ascii="Century Gothic" w:hAnsi="Century Gothic"/>
                <w:b/>
                <w:lang w:val="fr"/>
              </w:rPr>
              <w:t>2017(p)</w:t>
            </w:r>
          </w:p>
        </w:tc>
        <w:tc>
          <w:tcPr>
            <w:tcW w:w="1152" w:type="dxa"/>
            <w:shd w:val="clear" w:color="auto" w:fill="00B050"/>
            <w:vAlign w:val="center"/>
          </w:tcPr>
          <w:p w:rsidR="0038104A" w:rsidRPr="006775C4" w:rsidRDefault="0038104A" w:rsidP="006775C4">
            <w:pPr>
              <w:spacing w:after="0"/>
              <w:jc w:val="center"/>
              <w:rPr>
                <w:rFonts w:ascii="Century Gothic" w:hAnsi="Century Gothic"/>
                <w:b/>
                <w:lang w:val="fr"/>
              </w:rPr>
            </w:pPr>
            <w:r w:rsidRPr="006775C4">
              <w:rPr>
                <w:rFonts w:ascii="Century Gothic" w:hAnsi="Century Gothic"/>
                <w:b/>
                <w:lang w:val="fr"/>
              </w:rPr>
              <w:t>2018(p)</w:t>
            </w:r>
          </w:p>
        </w:tc>
      </w:tr>
      <w:tr w:rsidR="0038104A" w:rsidRPr="0038104A" w:rsidTr="006775C4">
        <w:trPr>
          <w:trHeight w:val="503"/>
        </w:trPr>
        <w:tc>
          <w:tcPr>
            <w:tcW w:w="4159" w:type="dxa"/>
            <w:shd w:val="clear" w:color="000000" w:fill="FFFFFF"/>
            <w:vAlign w:val="center"/>
          </w:tcPr>
          <w:p w:rsidR="0038104A" w:rsidRPr="0038104A" w:rsidRDefault="0038104A" w:rsidP="006775C4">
            <w:pPr>
              <w:spacing w:after="0"/>
              <w:rPr>
                <w:rFonts w:ascii="Century Gothic" w:hAnsi="Century Gothic"/>
                <w:b/>
                <w:lang w:val="fr"/>
              </w:rPr>
            </w:pPr>
            <w:r w:rsidRPr="0038104A">
              <w:rPr>
                <w:rFonts w:ascii="Century Gothic" w:hAnsi="Century Gothic"/>
                <w:b/>
                <w:lang w:val="fr"/>
              </w:rPr>
              <w:t xml:space="preserve">Croissance PIB (%) </w:t>
            </w:r>
          </w:p>
        </w:tc>
        <w:tc>
          <w:tcPr>
            <w:tcW w:w="1151" w:type="dxa"/>
            <w:shd w:val="clear" w:color="000000" w:fill="FFFFFF"/>
            <w:vAlign w:val="center"/>
          </w:tcPr>
          <w:p w:rsidR="0038104A" w:rsidRPr="0038104A" w:rsidRDefault="0038104A" w:rsidP="006775C4">
            <w:pPr>
              <w:spacing w:after="0"/>
              <w:jc w:val="center"/>
              <w:rPr>
                <w:rFonts w:ascii="Century Gothic" w:hAnsi="Century Gothic"/>
              </w:rPr>
            </w:pPr>
            <w:r w:rsidRPr="0038104A">
              <w:rPr>
                <w:rFonts w:ascii="Century Gothic" w:hAnsi="Century Gothic"/>
              </w:rPr>
              <w:t>0,0</w:t>
            </w:r>
          </w:p>
        </w:tc>
        <w:tc>
          <w:tcPr>
            <w:tcW w:w="1152" w:type="dxa"/>
            <w:shd w:val="clear" w:color="000000" w:fill="FFFFFF"/>
            <w:vAlign w:val="center"/>
          </w:tcPr>
          <w:p w:rsidR="0038104A" w:rsidRPr="0038104A" w:rsidRDefault="0038104A" w:rsidP="006775C4">
            <w:pPr>
              <w:spacing w:after="0"/>
              <w:jc w:val="center"/>
              <w:rPr>
                <w:rFonts w:ascii="Century Gothic" w:hAnsi="Century Gothic"/>
              </w:rPr>
            </w:pPr>
            <w:r w:rsidRPr="0038104A">
              <w:rPr>
                <w:rFonts w:ascii="Century Gothic" w:hAnsi="Century Gothic"/>
              </w:rPr>
              <w:t>1,9</w:t>
            </w:r>
          </w:p>
        </w:tc>
        <w:tc>
          <w:tcPr>
            <w:tcW w:w="1152" w:type="dxa"/>
            <w:shd w:val="clear" w:color="000000" w:fill="FFFFFF"/>
            <w:vAlign w:val="center"/>
          </w:tcPr>
          <w:p w:rsidR="0038104A" w:rsidRPr="0038104A" w:rsidRDefault="0038104A" w:rsidP="006775C4">
            <w:pPr>
              <w:spacing w:after="0"/>
              <w:jc w:val="center"/>
              <w:rPr>
                <w:rFonts w:ascii="Century Gothic" w:hAnsi="Century Gothic"/>
              </w:rPr>
            </w:pPr>
            <w:r w:rsidRPr="0038104A">
              <w:rPr>
                <w:rFonts w:ascii="Century Gothic" w:hAnsi="Century Gothic"/>
              </w:rPr>
              <w:t>2,8</w:t>
            </w:r>
          </w:p>
        </w:tc>
        <w:tc>
          <w:tcPr>
            <w:tcW w:w="1152" w:type="dxa"/>
            <w:shd w:val="clear" w:color="000000" w:fill="FFFFFF"/>
            <w:vAlign w:val="center"/>
          </w:tcPr>
          <w:p w:rsidR="0038104A" w:rsidRPr="0038104A" w:rsidRDefault="0038104A" w:rsidP="006775C4">
            <w:pPr>
              <w:spacing w:after="0"/>
              <w:jc w:val="center"/>
              <w:rPr>
                <w:rFonts w:ascii="Century Gothic" w:hAnsi="Century Gothic"/>
              </w:rPr>
            </w:pPr>
            <w:r w:rsidRPr="0038104A">
              <w:rPr>
                <w:rFonts w:ascii="Century Gothic" w:hAnsi="Century Gothic"/>
              </w:rPr>
              <w:t>2,2</w:t>
            </w:r>
          </w:p>
        </w:tc>
      </w:tr>
      <w:tr w:rsidR="0038104A" w:rsidRPr="0038104A" w:rsidTr="006775C4">
        <w:trPr>
          <w:trHeight w:val="503"/>
        </w:trPr>
        <w:tc>
          <w:tcPr>
            <w:tcW w:w="4159" w:type="dxa"/>
            <w:shd w:val="clear" w:color="000000" w:fill="FFFFFF"/>
            <w:vAlign w:val="center"/>
          </w:tcPr>
          <w:p w:rsidR="0038104A" w:rsidRPr="0038104A" w:rsidRDefault="0038104A" w:rsidP="006775C4">
            <w:pPr>
              <w:spacing w:after="0"/>
              <w:rPr>
                <w:rFonts w:ascii="Century Gothic" w:hAnsi="Century Gothic"/>
                <w:b/>
                <w:lang w:val="fr"/>
              </w:rPr>
            </w:pPr>
            <w:r w:rsidRPr="0038104A">
              <w:rPr>
                <w:rFonts w:ascii="Century Gothic" w:hAnsi="Century Gothic"/>
                <w:b/>
                <w:lang w:val="fr"/>
              </w:rPr>
              <w:t xml:space="preserve">Inflation (moyenne annuelle, %) </w:t>
            </w:r>
          </w:p>
        </w:tc>
        <w:tc>
          <w:tcPr>
            <w:tcW w:w="1151" w:type="dxa"/>
            <w:shd w:val="clear" w:color="000000" w:fill="FFFFFF"/>
            <w:vAlign w:val="center"/>
          </w:tcPr>
          <w:p w:rsidR="0038104A" w:rsidRPr="0038104A" w:rsidRDefault="0038104A" w:rsidP="006775C4">
            <w:pPr>
              <w:spacing w:after="0"/>
              <w:jc w:val="center"/>
              <w:rPr>
                <w:rFonts w:ascii="Century Gothic" w:hAnsi="Century Gothic"/>
              </w:rPr>
            </w:pPr>
            <w:r w:rsidRPr="0038104A">
              <w:rPr>
                <w:rFonts w:ascii="Century Gothic" w:hAnsi="Century Gothic"/>
              </w:rPr>
              <w:t>-0,2</w:t>
            </w:r>
          </w:p>
        </w:tc>
        <w:tc>
          <w:tcPr>
            <w:tcW w:w="1152" w:type="dxa"/>
            <w:shd w:val="clear" w:color="000000" w:fill="FFFFFF"/>
            <w:vAlign w:val="center"/>
          </w:tcPr>
          <w:p w:rsidR="0038104A" w:rsidRPr="0038104A" w:rsidRDefault="0038104A" w:rsidP="006775C4">
            <w:pPr>
              <w:spacing w:after="0"/>
              <w:jc w:val="center"/>
              <w:rPr>
                <w:rFonts w:ascii="Century Gothic" w:hAnsi="Century Gothic"/>
              </w:rPr>
            </w:pPr>
            <w:r w:rsidRPr="0038104A">
              <w:rPr>
                <w:rFonts w:ascii="Century Gothic" w:hAnsi="Century Gothic"/>
              </w:rPr>
              <w:t>0,4</w:t>
            </w:r>
          </w:p>
        </w:tc>
        <w:tc>
          <w:tcPr>
            <w:tcW w:w="1152" w:type="dxa"/>
            <w:shd w:val="clear" w:color="000000" w:fill="FFFFFF"/>
            <w:vAlign w:val="center"/>
          </w:tcPr>
          <w:p w:rsidR="0038104A" w:rsidRPr="0038104A" w:rsidRDefault="0038104A" w:rsidP="006775C4">
            <w:pPr>
              <w:spacing w:after="0"/>
              <w:jc w:val="center"/>
              <w:rPr>
                <w:rFonts w:ascii="Century Gothic" w:hAnsi="Century Gothic"/>
              </w:rPr>
            </w:pPr>
            <w:r w:rsidRPr="0038104A">
              <w:rPr>
                <w:rFonts w:ascii="Century Gothic" w:hAnsi="Century Gothic"/>
              </w:rPr>
              <w:t>0,8</w:t>
            </w:r>
          </w:p>
        </w:tc>
        <w:tc>
          <w:tcPr>
            <w:tcW w:w="1152" w:type="dxa"/>
            <w:shd w:val="clear" w:color="000000" w:fill="FFFFFF"/>
            <w:vAlign w:val="center"/>
          </w:tcPr>
          <w:p w:rsidR="0038104A" w:rsidRPr="0038104A" w:rsidRDefault="0038104A" w:rsidP="006775C4">
            <w:pPr>
              <w:spacing w:after="0"/>
              <w:jc w:val="center"/>
              <w:rPr>
                <w:rFonts w:ascii="Century Gothic" w:hAnsi="Century Gothic"/>
              </w:rPr>
            </w:pPr>
            <w:r w:rsidRPr="0038104A">
              <w:rPr>
                <w:rFonts w:ascii="Century Gothic" w:hAnsi="Century Gothic"/>
              </w:rPr>
              <w:t>1,1</w:t>
            </w:r>
          </w:p>
        </w:tc>
      </w:tr>
      <w:tr w:rsidR="0038104A" w:rsidRPr="0038104A" w:rsidTr="006775C4">
        <w:trPr>
          <w:trHeight w:val="503"/>
        </w:trPr>
        <w:tc>
          <w:tcPr>
            <w:tcW w:w="4159" w:type="dxa"/>
            <w:shd w:val="clear" w:color="000000" w:fill="FFFFFF"/>
            <w:vAlign w:val="center"/>
          </w:tcPr>
          <w:p w:rsidR="0038104A" w:rsidRPr="0038104A" w:rsidRDefault="0038104A" w:rsidP="006775C4">
            <w:pPr>
              <w:spacing w:after="0"/>
              <w:rPr>
                <w:rFonts w:ascii="Century Gothic" w:hAnsi="Century Gothic"/>
                <w:b/>
                <w:lang w:val="fr"/>
              </w:rPr>
            </w:pPr>
            <w:r w:rsidRPr="0038104A">
              <w:rPr>
                <w:rFonts w:ascii="Century Gothic" w:hAnsi="Century Gothic"/>
                <w:b/>
                <w:lang w:val="fr"/>
              </w:rPr>
              <w:t xml:space="preserve">Solde public / PIB (%) </w:t>
            </w:r>
          </w:p>
        </w:tc>
        <w:tc>
          <w:tcPr>
            <w:tcW w:w="1151" w:type="dxa"/>
            <w:shd w:val="clear" w:color="000000" w:fill="FFFFFF"/>
            <w:vAlign w:val="center"/>
          </w:tcPr>
          <w:p w:rsidR="0038104A" w:rsidRPr="0038104A" w:rsidRDefault="0038104A" w:rsidP="006775C4">
            <w:pPr>
              <w:spacing w:after="0"/>
              <w:jc w:val="center"/>
              <w:rPr>
                <w:rFonts w:ascii="Century Gothic" w:hAnsi="Century Gothic"/>
              </w:rPr>
            </w:pPr>
            <w:r w:rsidRPr="0038104A">
              <w:rPr>
                <w:rFonts w:ascii="Century Gothic" w:hAnsi="Century Gothic"/>
              </w:rPr>
              <w:t>-2,7</w:t>
            </w:r>
          </w:p>
        </w:tc>
        <w:tc>
          <w:tcPr>
            <w:tcW w:w="1152" w:type="dxa"/>
            <w:shd w:val="clear" w:color="000000" w:fill="FFFFFF"/>
            <w:vAlign w:val="center"/>
          </w:tcPr>
          <w:p w:rsidR="0038104A" w:rsidRPr="0038104A" w:rsidRDefault="0038104A" w:rsidP="006775C4">
            <w:pPr>
              <w:spacing w:after="0"/>
              <w:jc w:val="center"/>
              <w:rPr>
                <w:rFonts w:ascii="Century Gothic" w:hAnsi="Century Gothic"/>
              </w:rPr>
            </w:pPr>
            <w:r w:rsidRPr="0038104A">
              <w:rPr>
                <w:rFonts w:ascii="Century Gothic" w:hAnsi="Century Gothic"/>
              </w:rPr>
              <w:t>-1,9</w:t>
            </w:r>
          </w:p>
        </w:tc>
        <w:tc>
          <w:tcPr>
            <w:tcW w:w="1152" w:type="dxa"/>
            <w:shd w:val="clear" w:color="000000" w:fill="FFFFFF"/>
            <w:vAlign w:val="center"/>
          </w:tcPr>
          <w:p w:rsidR="0038104A" w:rsidRPr="0038104A" w:rsidRDefault="0038104A" w:rsidP="006775C4">
            <w:pPr>
              <w:spacing w:after="0"/>
              <w:jc w:val="center"/>
              <w:rPr>
                <w:rFonts w:ascii="Century Gothic" w:hAnsi="Century Gothic"/>
              </w:rPr>
            </w:pPr>
            <w:r w:rsidRPr="0038104A">
              <w:rPr>
                <w:rFonts w:ascii="Century Gothic" w:hAnsi="Century Gothic"/>
              </w:rPr>
              <w:t>-1,5</w:t>
            </w:r>
          </w:p>
        </w:tc>
        <w:tc>
          <w:tcPr>
            <w:tcW w:w="1152" w:type="dxa"/>
            <w:shd w:val="clear" w:color="000000" w:fill="FFFFFF"/>
            <w:vAlign w:val="center"/>
          </w:tcPr>
          <w:p w:rsidR="0038104A" w:rsidRPr="0038104A" w:rsidRDefault="0038104A" w:rsidP="006775C4">
            <w:pPr>
              <w:spacing w:after="0"/>
              <w:jc w:val="center"/>
              <w:rPr>
                <w:rFonts w:ascii="Century Gothic" w:hAnsi="Century Gothic"/>
              </w:rPr>
            </w:pPr>
            <w:r w:rsidRPr="0038104A">
              <w:rPr>
                <w:rFonts w:ascii="Century Gothic" w:hAnsi="Century Gothic"/>
              </w:rPr>
              <w:t>-1,2</w:t>
            </w:r>
          </w:p>
        </w:tc>
      </w:tr>
      <w:tr w:rsidR="0038104A" w:rsidRPr="0038104A" w:rsidTr="006775C4">
        <w:trPr>
          <w:trHeight w:val="503"/>
        </w:trPr>
        <w:tc>
          <w:tcPr>
            <w:tcW w:w="4159" w:type="dxa"/>
            <w:shd w:val="clear" w:color="000000" w:fill="FFFFFF"/>
            <w:vAlign w:val="center"/>
          </w:tcPr>
          <w:p w:rsidR="0038104A" w:rsidRPr="0038104A" w:rsidRDefault="0038104A" w:rsidP="006775C4">
            <w:pPr>
              <w:spacing w:after="0"/>
              <w:rPr>
                <w:rFonts w:ascii="Century Gothic" w:hAnsi="Century Gothic"/>
                <w:b/>
                <w:lang w:val="fr"/>
              </w:rPr>
            </w:pPr>
            <w:r w:rsidRPr="0038104A">
              <w:rPr>
                <w:rFonts w:ascii="Century Gothic" w:hAnsi="Century Gothic"/>
                <w:b/>
                <w:lang w:val="fr"/>
              </w:rPr>
              <w:t xml:space="preserve">Solde courant / PIB (%) </w:t>
            </w:r>
          </w:p>
        </w:tc>
        <w:tc>
          <w:tcPr>
            <w:tcW w:w="1151" w:type="dxa"/>
            <w:shd w:val="clear" w:color="000000" w:fill="FFFFFF"/>
            <w:vAlign w:val="center"/>
          </w:tcPr>
          <w:p w:rsidR="0038104A" w:rsidRPr="0038104A" w:rsidRDefault="0038104A" w:rsidP="006775C4">
            <w:pPr>
              <w:spacing w:after="0"/>
              <w:jc w:val="center"/>
              <w:rPr>
                <w:rFonts w:ascii="Century Gothic" w:hAnsi="Century Gothic"/>
              </w:rPr>
            </w:pPr>
            <w:r w:rsidRPr="0038104A">
              <w:rPr>
                <w:rFonts w:ascii="Century Gothic" w:hAnsi="Century Gothic"/>
              </w:rPr>
              <w:t>-0,6</w:t>
            </w:r>
          </w:p>
        </w:tc>
        <w:tc>
          <w:tcPr>
            <w:tcW w:w="1152" w:type="dxa"/>
            <w:shd w:val="clear" w:color="000000" w:fill="FFFFFF"/>
            <w:vAlign w:val="center"/>
          </w:tcPr>
          <w:p w:rsidR="0038104A" w:rsidRPr="0038104A" w:rsidRDefault="0038104A" w:rsidP="006775C4">
            <w:pPr>
              <w:spacing w:after="0"/>
              <w:jc w:val="center"/>
              <w:rPr>
                <w:rFonts w:ascii="Century Gothic" w:hAnsi="Century Gothic"/>
              </w:rPr>
            </w:pPr>
            <w:r w:rsidRPr="0038104A">
              <w:rPr>
                <w:rFonts w:ascii="Century Gothic" w:hAnsi="Century Gothic"/>
              </w:rPr>
              <w:t>-1,1</w:t>
            </w:r>
          </w:p>
        </w:tc>
        <w:tc>
          <w:tcPr>
            <w:tcW w:w="1152" w:type="dxa"/>
            <w:shd w:val="clear" w:color="000000" w:fill="FFFFFF"/>
            <w:vAlign w:val="center"/>
          </w:tcPr>
          <w:p w:rsidR="0038104A" w:rsidRPr="0038104A" w:rsidRDefault="0038104A" w:rsidP="006775C4">
            <w:pPr>
              <w:spacing w:after="0"/>
              <w:jc w:val="center"/>
              <w:rPr>
                <w:rFonts w:ascii="Century Gothic" w:hAnsi="Century Gothic"/>
              </w:rPr>
            </w:pPr>
            <w:r w:rsidRPr="0038104A">
              <w:rPr>
                <w:rFonts w:ascii="Century Gothic" w:hAnsi="Century Gothic"/>
              </w:rPr>
              <w:t>0,4</w:t>
            </w:r>
          </w:p>
        </w:tc>
        <w:tc>
          <w:tcPr>
            <w:tcW w:w="1152" w:type="dxa"/>
            <w:shd w:val="clear" w:color="000000" w:fill="FFFFFF"/>
            <w:vAlign w:val="center"/>
          </w:tcPr>
          <w:p w:rsidR="0038104A" w:rsidRPr="0038104A" w:rsidRDefault="0038104A" w:rsidP="006775C4">
            <w:pPr>
              <w:spacing w:after="0"/>
              <w:jc w:val="center"/>
              <w:rPr>
                <w:rFonts w:ascii="Century Gothic" w:hAnsi="Century Gothic"/>
              </w:rPr>
            </w:pPr>
            <w:r w:rsidRPr="0038104A">
              <w:rPr>
                <w:rFonts w:ascii="Century Gothic" w:hAnsi="Century Gothic"/>
              </w:rPr>
              <w:t>0,4</w:t>
            </w:r>
          </w:p>
        </w:tc>
      </w:tr>
      <w:tr w:rsidR="0038104A" w:rsidRPr="0038104A" w:rsidTr="006775C4">
        <w:trPr>
          <w:trHeight w:val="503"/>
        </w:trPr>
        <w:tc>
          <w:tcPr>
            <w:tcW w:w="4159" w:type="dxa"/>
            <w:shd w:val="clear" w:color="000000" w:fill="FFFFFF"/>
            <w:vAlign w:val="center"/>
          </w:tcPr>
          <w:p w:rsidR="0038104A" w:rsidRPr="0038104A" w:rsidRDefault="0038104A" w:rsidP="006775C4">
            <w:pPr>
              <w:spacing w:after="0"/>
              <w:rPr>
                <w:rFonts w:ascii="Century Gothic" w:hAnsi="Century Gothic"/>
                <w:b/>
                <w:lang w:val="fr"/>
              </w:rPr>
            </w:pPr>
            <w:r w:rsidRPr="0038104A">
              <w:rPr>
                <w:rFonts w:ascii="Century Gothic" w:hAnsi="Century Gothic"/>
                <w:b/>
                <w:lang w:val="fr"/>
              </w:rPr>
              <w:t xml:space="preserve">Dette publique / PIB (%) </w:t>
            </w:r>
          </w:p>
        </w:tc>
        <w:tc>
          <w:tcPr>
            <w:tcW w:w="1151" w:type="dxa"/>
            <w:shd w:val="clear" w:color="000000" w:fill="FFFFFF"/>
            <w:vAlign w:val="center"/>
          </w:tcPr>
          <w:p w:rsidR="0038104A" w:rsidRPr="0038104A" w:rsidRDefault="0038104A" w:rsidP="006775C4">
            <w:pPr>
              <w:spacing w:after="0"/>
              <w:jc w:val="center"/>
              <w:rPr>
                <w:rFonts w:ascii="Century Gothic" w:hAnsi="Century Gothic"/>
              </w:rPr>
            </w:pPr>
            <w:r w:rsidRPr="0038104A">
              <w:rPr>
                <w:rFonts w:ascii="Century Gothic" w:hAnsi="Century Gothic"/>
              </w:rPr>
              <w:t>63,6</w:t>
            </w:r>
          </w:p>
        </w:tc>
        <w:tc>
          <w:tcPr>
            <w:tcW w:w="1152" w:type="dxa"/>
            <w:shd w:val="clear" w:color="000000" w:fill="FFFFFF"/>
            <w:vAlign w:val="center"/>
          </w:tcPr>
          <w:p w:rsidR="0038104A" w:rsidRPr="0038104A" w:rsidRDefault="0038104A" w:rsidP="006775C4">
            <w:pPr>
              <w:spacing w:after="0"/>
              <w:jc w:val="center"/>
              <w:rPr>
                <w:rFonts w:ascii="Century Gothic" w:hAnsi="Century Gothic"/>
              </w:rPr>
            </w:pPr>
            <w:r w:rsidRPr="0038104A">
              <w:rPr>
                <w:rFonts w:ascii="Century Gothic" w:hAnsi="Century Gothic"/>
              </w:rPr>
              <w:t>63,1</w:t>
            </w:r>
          </w:p>
        </w:tc>
        <w:tc>
          <w:tcPr>
            <w:tcW w:w="1152" w:type="dxa"/>
            <w:shd w:val="clear" w:color="000000" w:fill="FFFFFF"/>
            <w:vAlign w:val="center"/>
          </w:tcPr>
          <w:p w:rsidR="0038104A" w:rsidRPr="0038104A" w:rsidRDefault="0038104A" w:rsidP="006775C4">
            <w:pPr>
              <w:spacing w:after="0"/>
              <w:jc w:val="center"/>
              <w:rPr>
                <w:rFonts w:ascii="Century Gothic" w:hAnsi="Century Gothic"/>
              </w:rPr>
            </w:pPr>
            <w:r w:rsidRPr="0038104A">
              <w:rPr>
                <w:rFonts w:ascii="Century Gothic" w:hAnsi="Century Gothic"/>
              </w:rPr>
              <w:t>63,3</w:t>
            </w:r>
          </w:p>
        </w:tc>
        <w:tc>
          <w:tcPr>
            <w:tcW w:w="1152" w:type="dxa"/>
            <w:shd w:val="clear" w:color="000000" w:fill="FFFFFF"/>
            <w:vAlign w:val="center"/>
          </w:tcPr>
          <w:p w:rsidR="0038104A" w:rsidRPr="0038104A" w:rsidRDefault="0038104A" w:rsidP="006775C4">
            <w:pPr>
              <w:spacing w:after="0"/>
              <w:jc w:val="center"/>
              <w:rPr>
                <w:rFonts w:ascii="Century Gothic" w:hAnsi="Century Gothic"/>
              </w:rPr>
            </w:pPr>
            <w:r w:rsidRPr="0038104A">
              <w:rPr>
                <w:rFonts w:ascii="Century Gothic" w:hAnsi="Century Gothic"/>
              </w:rPr>
              <w:t>62,6</w:t>
            </w:r>
          </w:p>
        </w:tc>
      </w:tr>
    </w:tbl>
    <w:p w:rsidR="0038104A" w:rsidRPr="006775C4" w:rsidRDefault="0038104A" w:rsidP="0038104A">
      <w:pPr>
        <w:rPr>
          <w:rFonts w:ascii="Century Gothic" w:hAnsi="Century Gothic"/>
          <w:sz w:val="20"/>
          <w:lang w:val="fr"/>
        </w:rPr>
      </w:pPr>
      <w:r w:rsidRPr="006775C4">
        <w:rPr>
          <w:rFonts w:ascii="Century Gothic" w:hAnsi="Century Gothic"/>
          <w:b/>
          <w:sz w:val="20"/>
          <w:u w:val="single"/>
          <w:lang w:val="fr"/>
        </w:rPr>
        <w:t>Source </w:t>
      </w:r>
      <w:r w:rsidRPr="006775C4">
        <w:rPr>
          <w:rFonts w:ascii="Century Gothic" w:hAnsi="Century Gothic"/>
          <w:sz w:val="20"/>
          <w:lang w:val="fr"/>
        </w:rPr>
        <w:t>: COFACE</w:t>
      </w:r>
    </w:p>
    <w:p w:rsidR="0038104A" w:rsidRPr="006775C4" w:rsidRDefault="006775C4" w:rsidP="006775C4">
      <w:pPr>
        <w:spacing w:after="120"/>
        <w:rPr>
          <w:rFonts w:ascii="Century Gothic" w:hAnsi="Century Gothic"/>
          <w:b/>
        </w:rPr>
      </w:pPr>
      <w:r w:rsidRPr="006775C4">
        <w:rPr>
          <w:rFonts w:ascii="Century Gothic" w:hAnsi="Century Gothic"/>
          <w:b/>
        </w:rPr>
        <w:t>Points forts</w:t>
      </w:r>
    </w:p>
    <w:p w:rsidR="0038104A" w:rsidRPr="0038104A" w:rsidRDefault="0038104A" w:rsidP="006775C4">
      <w:pPr>
        <w:numPr>
          <w:ilvl w:val="0"/>
          <w:numId w:val="22"/>
        </w:numPr>
        <w:spacing w:after="0"/>
        <w:jc w:val="both"/>
        <w:rPr>
          <w:rFonts w:ascii="Century Gothic" w:hAnsi="Century Gothic"/>
        </w:rPr>
      </w:pPr>
      <w:r w:rsidRPr="0038104A">
        <w:rPr>
          <w:rFonts w:ascii="Century Gothic" w:hAnsi="Century Gothic"/>
        </w:rPr>
        <w:t>Politique économique prudente</w:t>
      </w:r>
    </w:p>
    <w:p w:rsidR="0038104A" w:rsidRPr="0038104A" w:rsidRDefault="0038104A" w:rsidP="006775C4">
      <w:pPr>
        <w:numPr>
          <w:ilvl w:val="0"/>
          <w:numId w:val="22"/>
        </w:numPr>
        <w:spacing w:after="0"/>
        <w:jc w:val="both"/>
        <w:rPr>
          <w:rFonts w:ascii="Century Gothic" w:hAnsi="Century Gothic"/>
        </w:rPr>
      </w:pPr>
      <w:r w:rsidRPr="0038104A">
        <w:rPr>
          <w:rFonts w:ascii="Century Gothic" w:hAnsi="Century Gothic"/>
        </w:rPr>
        <w:t>Main d’œuvre qualifiée et climat des affaires favorable</w:t>
      </w:r>
    </w:p>
    <w:p w:rsidR="0038104A" w:rsidRPr="0038104A" w:rsidRDefault="0038104A" w:rsidP="006775C4">
      <w:pPr>
        <w:numPr>
          <w:ilvl w:val="0"/>
          <w:numId w:val="22"/>
        </w:numPr>
        <w:spacing w:after="0"/>
        <w:jc w:val="both"/>
        <w:rPr>
          <w:rFonts w:ascii="Century Gothic" w:hAnsi="Century Gothic"/>
        </w:rPr>
      </w:pPr>
      <w:r w:rsidRPr="0038104A">
        <w:rPr>
          <w:rFonts w:ascii="Century Gothic" w:hAnsi="Century Gothic"/>
        </w:rPr>
        <w:t>Industries de pointe</w:t>
      </w:r>
    </w:p>
    <w:p w:rsidR="0038104A" w:rsidRPr="0038104A" w:rsidRDefault="0038104A" w:rsidP="006775C4">
      <w:pPr>
        <w:numPr>
          <w:ilvl w:val="0"/>
          <w:numId w:val="22"/>
        </w:numPr>
        <w:spacing w:after="120"/>
        <w:jc w:val="both"/>
        <w:rPr>
          <w:rFonts w:ascii="Century Gothic" w:hAnsi="Century Gothic"/>
        </w:rPr>
      </w:pPr>
      <w:r w:rsidRPr="0038104A">
        <w:rPr>
          <w:rFonts w:ascii="Century Gothic" w:hAnsi="Century Gothic"/>
        </w:rPr>
        <w:t>Niveau de vie élevé</w:t>
      </w:r>
    </w:p>
    <w:p w:rsidR="0038104A" w:rsidRPr="006775C4" w:rsidRDefault="0038104A" w:rsidP="006775C4">
      <w:pPr>
        <w:spacing w:after="120"/>
        <w:rPr>
          <w:rFonts w:ascii="Century Gothic" w:hAnsi="Century Gothic"/>
          <w:b/>
        </w:rPr>
      </w:pPr>
      <w:r w:rsidRPr="0038104A">
        <w:rPr>
          <w:rFonts w:ascii="Century Gothic" w:hAnsi="Century Gothic"/>
          <w:b/>
          <w:lang w:val="fr"/>
        </w:rPr>
        <w:t xml:space="preserve"> </w:t>
      </w:r>
      <w:r w:rsidR="006775C4" w:rsidRPr="006775C4">
        <w:rPr>
          <w:rFonts w:ascii="Century Gothic" w:hAnsi="Century Gothic"/>
          <w:b/>
        </w:rPr>
        <w:t>Points faibles</w:t>
      </w:r>
    </w:p>
    <w:p w:rsidR="0038104A" w:rsidRPr="0038104A" w:rsidRDefault="0038104A" w:rsidP="006775C4">
      <w:pPr>
        <w:numPr>
          <w:ilvl w:val="0"/>
          <w:numId w:val="23"/>
        </w:numPr>
        <w:spacing w:after="0"/>
        <w:jc w:val="both"/>
        <w:rPr>
          <w:rFonts w:ascii="Century Gothic" w:hAnsi="Century Gothic"/>
        </w:rPr>
      </w:pPr>
      <w:r w:rsidRPr="0038104A">
        <w:rPr>
          <w:rFonts w:ascii="Century Gothic" w:hAnsi="Century Gothic"/>
        </w:rPr>
        <w:t>Forte vulnérabilité à la conjoncture internationale</w:t>
      </w:r>
    </w:p>
    <w:p w:rsidR="0038104A" w:rsidRPr="0038104A" w:rsidRDefault="0038104A" w:rsidP="006775C4">
      <w:pPr>
        <w:numPr>
          <w:ilvl w:val="0"/>
          <w:numId w:val="23"/>
        </w:numPr>
        <w:spacing w:after="0"/>
        <w:jc w:val="both"/>
        <w:rPr>
          <w:rFonts w:ascii="Century Gothic" w:hAnsi="Century Gothic"/>
        </w:rPr>
      </w:pPr>
      <w:r w:rsidRPr="0038104A">
        <w:rPr>
          <w:rFonts w:ascii="Century Gothic" w:hAnsi="Century Gothic"/>
        </w:rPr>
        <w:t>Crise industrielle et perte de compétitivité</w:t>
      </w:r>
    </w:p>
    <w:p w:rsidR="0038104A" w:rsidRPr="0038104A" w:rsidRDefault="0038104A" w:rsidP="006775C4">
      <w:pPr>
        <w:numPr>
          <w:ilvl w:val="0"/>
          <w:numId w:val="23"/>
        </w:numPr>
        <w:spacing w:after="0"/>
        <w:jc w:val="both"/>
        <w:rPr>
          <w:rFonts w:ascii="Century Gothic" w:hAnsi="Century Gothic"/>
        </w:rPr>
      </w:pPr>
      <w:r w:rsidRPr="0038104A">
        <w:rPr>
          <w:rFonts w:ascii="Century Gothic" w:hAnsi="Century Gothic"/>
        </w:rPr>
        <w:t>Dépendance du secteur bancaire finlandais aux secteurs financiers suédois et danois</w:t>
      </w:r>
    </w:p>
    <w:p w:rsidR="0038104A" w:rsidRPr="0038104A" w:rsidRDefault="0038104A" w:rsidP="006775C4">
      <w:pPr>
        <w:numPr>
          <w:ilvl w:val="0"/>
          <w:numId w:val="23"/>
        </w:numPr>
        <w:spacing w:after="0"/>
        <w:jc w:val="both"/>
        <w:rPr>
          <w:rFonts w:ascii="Century Gothic" w:hAnsi="Century Gothic"/>
        </w:rPr>
      </w:pPr>
      <w:r w:rsidRPr="0038104A">
        <w:rPr>
          <w:rFonts w:ascii="Century Gothic" w:hAnsi="Century Gothic"/>
        </w:rPr>
        <w:t>Vieillissement de la population</w:t>
      </w:r>
    </w:p>
    <w:p w:rsidR="0038104A" w:rsidRPr="0038104A" w:rsidRDefault="0038104A">
      <w:pPr>
        <w:rPr>
          <w:rFonts w:ascii="Century Gothic" w:hAnsi="Century Gothic"/>
        </w:rPr>
      </w:pPr>
    </w:p>
    <w:sectPr w:rsidR="0038104A" w:rsidRPr="0038104A" w:rsidSect="00300D34">
      <w:footerReference w:type="default" r:id="rId14"/>
      <w:pgSz w:w="11906" w:h="16838"/>
      <w:pgMar w:top="720" w:right="720" w:bottom="720"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359" w:rsidRDefault="00B60359">
      <w:pPr>
        <w:spacing w:after="0" w:line="240" w:lineRule="auto"/>
      </w:pPr>
      <w:r>
        <w:separator/>
      </w:r>
    </w:p>
  </w:endnote>
  <w:endnote w:type="continuationSeparator" w:id="0">
    <w:p w:rsidR="00B60359" w:rsidRDefault="00B60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781038"/>
      <w:docPartObj>
        <w:docPartGallery w:val="Page Numbers (Bottom of Page)"/>
        <w:docPartUnique/>
      </w:docPartObj>
    </w:sdtPr>
    <w:sdtEndPr/>
    <w:sdtContent>
      <w:sdt>
        <w:sdtPr>
          <w:id w:val="-1025641275"/>
          <w:docPartObj>
            <w:docPartGallery w:val="Page Numbers (Bottom of Page)"/>
            <w:docPartUnique/>
          </w:docPartObj>
        </w:sdtPr>
        <w:sdtEndPr/>
        <w:sdtContent>
          <w:sdt>
            <w:sdtPr>
              <w:id w:val="-1521610869"/>
              <w:docPartObj>
                <w:docPartGallery w:val="Page Numbers (Bottom of Page)"/>
                <w:docPartUnique/>
              </w:docPartObj>
            </w:sdtPr>
            <w:sdtEndPr/>
            <w:sdtContent>
              <w:sdt>
                <w:sdtPr>
                  <w:id w:val="-1779642836"/>
                  <w:docPartObj>
                    <w:docPartGallery w:val="Page Numbers (Bottom of Page)"/>
                    <w:docPartUnique/>
                  </w:docPartObj>
                </w:sdtPr>
                <w:sdtEndPr/>
                <w:sdtContent>
                  <w:p w:rsidR="006775C4" w:rsidRPr="00087BFC" w:rsidRDefault="006775C4" w:rsidP="006775C4">
                    <w:pPr>
                      <w:tabs>
                        <w:tab w:val="center" w:pos="4536"/>
                        <w:tab w:val="right" w:pos="9072"/>
                      </w:tabs>
                      <w:spacing w:after="0" w:line="240" w:lineRule="auto"/>
                      <w:jc w:val="right"/>
                    </w:pPr>
                    <w:r w:rsidRPr="00087BFC">
                      <w:fldChar w:fldCharType="begin"/>
                    </w:r>
                    <w:r w:rsidRPr="00087BFC">
                      <w:instrText>PAGE   \* MERGEFORMAT</w:instrText>
                    </w:r>
                    <w:r w:rsidRPr="00087BFC">
                      <w:fldChar w:fldCharType="separate"/>
                    </w:r>
                    <w:r>
                      <w:t>1</w:t>
                    </w:r>
                    <w:r w:rsidRPr="00087BFC">
                      <w:fldChar w:fldCharType="end"/>
                    </w:r>
                    <w:r w:rsidRPr="00087BFC">
                      <w:t>/</w:t>
                    </w:r>
                    <w:r>
                      <w:t>1</w:t>
                    </w:r>
                  </w:p>
                </w:sdtContent>
              </w:sdt>
              <w:p w:rsidR="00215082" w:rsidRPr="00300D34" w:rsidRDefault="006775C4" w:rsidP="00300D34">
                <w:pPr>
                  <w:tabs>
                    <w:tab w:val="center" w:pos="4536"/>
                    <w:tab w:val="right" w:pos="9072"/>
                  </w:tabs>
                  <w:spacing w:after="0" w:line="240" w:lineRule="auto"/>
                  <w:jc w:val="center"/>
                  <w:rPr>
                    <w:rFonts w:ascii="Times New Roman" w:eastAsia="Times New Roman" w:hAnsi="Times New Roman"/>
                    <w:sz w:val="24"/>
                    <w:szCs w:val="24"/>
                    <w:lang w:eastAsia="fr-FR"/>
                  </w:rPr>
                </w:pPr>
                <w:r w:rsidRPr="00087BFC">
                  <w:rPr>
                    <w:rFonts w:ascii="Times New Roman" w:eastAsia="Times New Roman" w:hAnsi="Times New Roman"/>
                    <w:noProof/>
                    <w:sz w:val="24"/>
                    <w:szCs w:val="24"/>
                    <w:lang w:eastAsia="fr-FR"/>
                  </w:rPr>
                  <w:drawing>
                    <wp:inline distT="0" distB="0" distL="0" distR="0" wp14:anchorId="6027EC90" wp14:editId="76AB2A99">
                      <wp:extent cx="6120130" cy="37592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0130" cy="375920"/>
                              </a:xfrm>
                              <a:prstGeom prst="rect">
                                <a:avLst/>
                              </a:prstGeom>
                              <a:noFill/>
                              <a:ln>
                                <a:noFill/>
                              </a:ln>
                            </pic:spPr>
                          </pic:pic>
                        </a:graphicData>
                      </a:graphic>
                    </wp:inline>
                  </w:drawing>
                </w:r>
              </w:p>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689977"/>
      <w:docPartObj>
        <w:docPartGallery w:val="Page Numbers (Bottom of Page)"/>
        <w:docPartUnique/>
      </w:docPartObj>
    </w:sdtPr>
    <w:sdtEndPr/>
    <w:sdtContent>
      <w:sdt>
        <w:sdtPr>
          <w:id w:val="-1072661285"/>
          <w:docPartObj>
            <w:docPartGallery w:val="Page Numbers (Bottom of Page)"/>
            <w:docPartUnique/>
          </w:docPartObj>
        </w:sdtPr>
        <w:sdtEndPr/>
        <w:sdtContent>
          <w:sdt>
            <w:sdtPr>
              <w:id w:val="1146779825"/>
              <w:docPartObj>
                <w:docPartGallery w:val="Page Numbers (Bottom of Page)"/>
                <w:docPartUnique/>
              </w:docPartObj>
            </w:sdtPr>
            <w:sdtEndPr/>
            <w:sdtContent>
              <w:sdt>
                <w:sdtPr>
                  <w:id w:val="1988128508"/>
                  <w:docPartObj>
                    <w:docPartGallery w:val="Page Numbers (Bottom of Page)"/>
                    <w:docPartUnique/>
                  </w:docPartObj>
                </w:sdtPr>
                <w:sdtEndPr/>
                <w:sdtContent>
                  <w:p w:rsidR="00300D34" w:rsidRPr="00087BFC" w:rsidRDefault="00300D34" w:rsidP="006775C4">
                    <w:pPr>
                      <w:tabs>
                        <w:tab w:val="center" w:pos="4536"/>
                        <w:tab w:val="right" w:pos="9072"/>
                      </w:tabs>
                      <w:spacing w:after="0" w:line="240" w:lineRule="auto"/>
                      <w:jc w:val="right"/>
                    </w:pPr>
                    <w:r w:rsidRPr="00087BFC">
                      <w:fldChar w:fldCharType="begin"/>
                    </w:r>
                    <w:r w:rsidRPr="00087BFC">
                      <w:instrText>PAGE   \* MERGEFORMAT</w:instrText>
                    </w:r>
                    <w:r w:rsidRPr="00087BFC">
                      <w:fldChar w:fldCharType="separate"/>
                    </w:r>
                    <w:r>
                      <w:t>1</w:t>
                    </w:r>
                    <w:r w:rsidRPr="00087BFC">
                      <w:fldChar w:fldCharType="end"/>
                    </w:r>
                    <w:r w:rsidRPr="00087BFC">
                      <w:t>/</w:t>
                    </w:r>
                    <w:r>
                      <w:t>1</w:t>
                    </w:r>
                  </w:p>
                </w:sdtContent>
              </w:sdt>
              <w:p w:rsidR="00300D34" w:rsidRPr="00300D34" w:rsidRDefault="00300D34" w:rsidP="00300D34">
                <w:pPr>
                  <w:tabs>
                    <w:tab w:val="center" w:pos="4536"/>
                    <w:tab w:val="right" w:pos="9072"/>
                  </w:tabs>
                  <w:spacing w:after="0" w:line="240" w:lineRule="auto"/>
                  <w:jc w:val="center"/>
                  <w:rPr>
                    <w:rFonts w:ascii="Times New Roman" w:eastAsia="Times New Roman" w:hAnsi="Times New Roman"/>
                    <w:sz w:val="24"/>
                    <w:szCs w:val="24"/>
                    <w:lang w:eastAsia="fr-FR"/>
                  </w:rPr>
                </w:pPr>
                <w:r w:rsidRPr="00087BFC">
                  <w:rPr>
                    <w:rFonts w:ascii="Times New Roman" w:eastAsia="Times New Roman" w:hAnsi="Times New Roman"/>
                    <w:noProof/>
                    <w:sz w:val="24"/>
                    <w:szCs w:val="24"/>
                    <w:lang w:eastAsia="fr-FR"/>
                  </w:rPr>
                  <w:drawing>
                    <wp:inline distT="0" distB="0" distL="0" distR="0" wp14:anchorId="6F8D4A91" wp14:editId="1A72A08D">
                      <wp:extent cx="6120130" cy="37592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0130" cy="375920"/>
                              </a:xfrm>
                              <a:prstGeom prst="rect">
                                <a:avLst/>
                              </a:prstGeom>
                              <a:noFill/>
                              <a:ln>
                                <a:noFill/>
                              </a:ln>
                            </pic:spPr>
                          </pic:pic>
                        </a:graphicData>
                      </a:graphic>
                    </wp:inline>
                  </w:drawing>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359" w:rsidRDefault="00B60359">
      <w:pPr>
        <w:spacing w:after="0" w:line="240" w:lineRule="auto"/>
      </w:pPr>
      <w:r>
        <w:separator/>
      </w:r>
    </w:p>
  </w:footnote>
  <w:footnote w:type="continuationSeparator" w:id="0">
    <w:p w:rsidR="00B60359" w:rsidRDefault="00B603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11AE"/>
    <w:multiLevelType w:val="hybridMultilevel"/>
    <w:tmpl w:val="C6D09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4D3714"/>
    <w:multiLevelType w:val="hybridMultilevel"/>
    <w:tmpl w:val="2D6CE5D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472FF9"/>
    <w:multiLevelType w:val="multilevel"/>
    <w:tmpl w:val="3B5E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C6DB5"/>
    <w:multiLevelType w:val="multilevel"/>
    <w:tmpl w:val="EC3A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331C0"/>
    <w:multiLevelType w:val="multilevel"/>
    <w:tmpl w:val="A3B6F1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4C502AC"/>
    <w:multiLevelType w:val="hybridMultilevel"/>
    <w:tmpl w:val="4D703C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EB6657"/>
    <w:multiLevelType w:val="hybridMultilevel"/>
    <w:tmpl w:val="D15651BE"/>
    <w:lvl w:ilvl="0" w:tplc="AC302A1A">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176C67"/>
    <w:multiLevelType w:val="multilevel"/>
    <w:tmpl w:val="EFB0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00C6E"/>
    <w:multiLevelType w:val="hybridMultilevel"/>
    <w:tmpl w:val="730030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7A140E"/>
    <w:multiLevelType w:val="multilevel"/>
    <w:tmpl w:val="4318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5505F"/>
    <w:multiLevelType w:val="multilevel"/>
    <w:tmpl w:val="41B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2553F"/>
    <w:multiLevelType w:val="hybridMultilevel"/>
    <w:tmpl w:val="63B48FC8"/>
    <w:lvl w:ilvl="0" w:tplc="817E5A86">
      <w:start w:val="1"/>
      <w:numFmt w:val="upperRoman"/>
      <w:lvlText w:val="%1."/>
      <w:lvlJc w:val="left"/>
      <w:pPr>
        <w:ind w:left="1080" w:hanging="720"/>
      </w:pPr>
      <w:rPr>
        <w:rFonts w:hint="default"/>
        <w:u w:val="none"/>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8330F62"/>
    <w:multiLevelType w:val="multilevel"/>
    <w:tmpl w:val="972CD6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D26721C"/>
    <w:multiLevelType w:val="hybridMultilevel"/>
    <w:tmpl w:val="DC241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5AE31C6"/>
    <w:multiLevelType w:val="multilevel"/>
    <w:tmpl w:val="6DA6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83FA5"/>
    <w:multiLevelType w:val="hybridMultilevel"/>
    <w:tmpl w:val="DC844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8A9015E"/>
    <w:multiLevelType w:val="multilevel"/>
    <w:tmpl w:val="409E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1B70B1"/>
    <w:multiLevelType w:val="hybridMultilevel"/>
    <w:tmpl w:val="EA8A6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28A0770"/>
    <w:multiLevelType w:val="multilevel"/>
    <w:tmpl w:val="01102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7A2060A"/>
    <w:multiLevelType w:val="hybridMultilevel"/>
    <w:tmpl w:val="87E6015C"/>
    <w:lvl w:ilvl="0" w:tplc="040C000B">
      <w:start w:val="1"/>
      <w:numFmt w:val="bullet"/>
      <w:lvlText w:val=""/>
      <w:lvlJc w:val="left"/>
      <w:pPr>
        <w:ind w:left="720" w:hanging="360"/>
      </w:pPr>
      <w:rPr>
        <w:rFonts w:ascii="Wingdings" w:hAnsi="Wingdings" w:hint="default"/>
      </w:rPr>
    </w:lvl>
    <w:lvl w:ilvl="1" w:tplc="A0BCDFAC">
      <w:numFmt w:val="bullet"/>
      <w:lvlText w:val=""/>
      <w:lvlJc w:val="left"/>
      <w:pPr>
        <w:ind w:left="1440" w:hanging="360"/>
      </w:pPr>
      <w:rPr>
        <w:rFonts w:ascii="Century Gothic" w:eastAsia="Times New Roman" w:hAnsi="Century Gothic"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C4A1635"/>
    <w:multiLevelType w:val="hybridMultilevel"/>
    <w:tmpl w:val="191A5BE4"/>
    <w:lvl w:ilvl="0" w:tplc="A8A07A08">
      <w:numFmt w:val="bullet"/>
      <w:lvlText w:val="-"/>
      <w:lvlJc w:val="left"/>
      <w:pPr>
        <w:ind w:left="720" w:hanging="360"/>
      </w:pPr>
      <w:rPr>
        <w:rFonts w:ascii="Cambria" w:eastAsia="Calibri"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66017CF"/>
    <w:multiLevelType w:val="multilevel"/>
    <w:tmpl w:val="1E02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451752"/>
    <w:multiLevelType w:val="multilevel"/>
    <w:tmpl w:val="98A6C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EEB57C7"/>
    <w:multiLevelType w:val="multilevel"/>
    <w:tmpl w:val="59FE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22"/>
  </w:num>
  <w:num w:numId="4">
    <w:abstractNumId w:val="18"/>
  </w:num>
  <w:num w:numId="5">
    <w:abstractNumId w:val="17"/>
  </w:num>
  <w:num w:numId="6">
    <w:abstractNumId w:val="5"/>
  </w:num>
  <w:num w:numId="7">
    <w:abstractNumId w:val="13"/>
  </w:num>
  <w:num w:numId="8">
    <w:abstractNumId w:val="8"/>
  </w:num>
  <w:num w:numId="9">
    <w:abstractNumId w:val="4"/>
  </w:num>
  <w:num w:numId="10">
    <w:abstractNumId w:val="6"/>
  </w:num>
  <w:num w:numId="11">
    <w:abstractNumId w:val="0"/>
  </w:num>
  <w:num w:numId="12">
    <w:abstractNumId w:val="19"/>
  </w:num>
  <w:num w:numId="13">
    <w:abstractNumId w:val="9"/>
  </w:num>
  <w:num w:numId="14">
    <w:abstractNumId w:val="10"/>
  </w:num>
  <w:num w:numId="15">
    <w:abstractNumId w:val="21"/>
  </w:num>
  <w:num w:numId="16">
    <w:abstractNumId w:val="16"/>
  </w:num>
  <w:num w:numId="17">
    <w:abstractNumId w:val="7"/>
  </w:num>
  <w:num w:numId="18">
    <w:abstractNumId w:val="15"/>
  </w:num>
  <w:num w:numId="19">
    <w:abstractNumId w:val="1"/>
  </w:num>
  <w:num w:numId="20">
    <w:abstractNumId w:val="23"/>
  </w:num>
  <w:num w:numId="21">
    <w:abstractNumId w:val="14"/>
  </w:num>
  <w:num w:numId="22">
    <w:abstractNumId w:val="2"/>
  </w:num>
  <w:num w:numId="23">
    <w:abstractNumId w:val="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B8C"/>
    <w:rsid w:val="00057DF5"/>
    <w:rsid w:val="000834E7"/>
    <w:rsid w:val="00086D94"/>
    <w:rsid w:val="00090ED4"/>
    <w:rsid w:val="00094938"/>
    <w:rsid w:val="000B3B64"/>
    <w:rsid w:val="0010118C"/>
    <w:rsid w:val="00126336"/>
    <w:rsid w:val="001344D4"/>
    <w:rsid w:val="00136B53"/>
    <w:rsid w:val="00136BBA"/>
    <w:rsid w:val="001434F9"/>
    <w:rsid w:val="00144199"/>
    <w:rsid w:val="001506BD"/>
    <w:rsid w:val="001650DF"/>
    <w:rsid w:val="00173A1E"/>
    <w:rsid w:val="001A17C2"/>
    <w:rsid w:val="001A656B"/>
    <w:rsid w:val="001C6888"/>
    <w:rsid w:val="001F1AAD"/>
    <w:rsid w:val="001F632B"/>
    <w:rsid w:val="00211B7A"/>
    <w:rsid w:val="002201DD"/>
    <w:rsid w:val="00220B35"/>
    <w:rsid w:val="00222FAF"/>
    <w:rsid w:val="00231327"/>
    <w:rsid w:val="00243B06"/>
    <w:rsid w:val="00263E41"/>
    <w:rsid w:val="00287903"/>
    <w:rsid w:val="002B6457"/>
    <w:rsid w:val="002C76C4"/>
    <w:rsid w:val="002D31C8"/>
    <w:rsid w:val="002D53D3"/>
    <w:rsid w:val="00300D34"/>
    <w:rsid w:val="00311FEC"/>
    <w:rsid w:val="00327DB9"/>
    <w:rsid w:val="00331B8C"/>
    <w:rsid w:val="00360ACF"/>
    <w:rsid w:val="0038104A"/>
    <w:rsid w:val="003817CA"/>
    <w:rsid w:val="003848FD"/>
    <w:rsid w:val="00386E8F"/>
    <w:rsid w:val="003A6365"/>
    <w:rsid w:val="003B634C"/>
    <w:rsid w:val="003C7AEA"/>
    <w:rsid w:val="003D6F94"/>
    <w:rsid w:val="003E6BAD"/>
    <w:rsid w:val="00401F01"/>
    <w:rsid w:val="00440019"/>
    <w:rsid w:val="00444985"/>
    <w:rsid w:val="00450B4F"/>
    <w:rsid w:val="00455A3C"/>
    <w:rsid w:val="0047019C"/>
    <w:rsid w:val="00476263"/>
    <w:rsid w:val="004A4A8D"/>
    <w:rsid w:val="004A5041"/>
    <w:rsid w:val="004C2DCD"/>
    <w:rsid w:val="004C3201"/>
    <w:rsid w:val="004C4C1B"/>
    <w:rsid w:val="004C6D2A"/>
    <w:rsid w:val="004E72EA"/>
    <w:rsid w:val="004F03F1"/>
    <w:rsid w:val="004F6E6D"/>
    <w:rsid w:val="005176D8"/>
    <w:rsid w:val="0052319A"/>
    <w:rsid w:val="00533D0D"/>
    <w:rsid w:val="00541DAD"/>
    <w:rsid w:val="00544106"/>
    <w:rsid w:val="00553A83"/>
    <w:rsid w:val="00561B25"/>
    <w:rsid w:val="005758B7"/>
    <w:rsid w:val="00577A10"/>
    <w:rsid w:val="00593F6E"/>
    <w:rsid w:val="005C7E93"/>
    <w:rsid w:val="0060236F"/>
    <w:rsid w:val="00603FB3"/>
    <w:rsid w:val="006212FF"/>
    <w:rsid w:val="00637A6B"/>
    <w:rsid w:val="006435B0"/>
    <w:rsid w:val="006775C4"/>
    <w:rsid w:val="0068110C"/>
    <w:rsid w:val="00681CBC"/>
    <w:rsid w:val="006D0283"/>
    <w:rsid w:val="006D04FC"/>
    <w:rsid w:val="006E0EC9"/>
    <w:rsid w:val="006F2507"/>
    <w:rsid w:val="00706B94"/>
    <w:rsid w:val="007526FF"/>
    <w:rsid w:val="007622E8"/>
    <w:rsid w:val="00777AE7"/>
    <w:rsid w:val="007971D2"/>
    <w:rsid w:val="007C0A6E"/>
    <w:rsid w:val="007C3361"/>
    <w:rsid w:val="007C5ED4"/>
    <w:rsid w:val="007D69D4"/>
    <w:rsid w:val="00833D32"/>
    <w:rsid w:val="00853D73"/>
    <w:rsid w:val="00871AFE"/>
    <w:rsid w:val="0088720A"/>
    <w:rsid w:val="008C27E5"/>
    <w:rsid w:val="0092126C"/>
    <w:rsid w:val="00940035"/>
    <w:rsid w:val="009604DF"/>
    <w:rsid w:val="00977A41"/>
    <w:rsid w:val="00994258"/>
    <w:rsid w:val="009C066F"/>
    <w:rsid w:val="009D3679"/>
    <w:rsid w:val="009E0874"/>
    <w:rsid w:val="00A0388A"/>
    <w:rsid w:val="00A17902"/>
    <w:rsid w:val="00A366B2"/>
    <w:rsid w:val="00A63208"/>
    <w:rsid w:val="00A74BFB"/>
    <w:rsid w:val="00A80E8E"/>
    <w:rsid w:val="00AA35ED"/>
    <w:rsid w:val="00AA6DD9"/>
    <w:rsid w:val="00AD40FA"/>
    <w:rsid w:val="00AF6CA2"/>
    <w:rsid w:val="00B423EE"/>
    <w:rsid w:val="00B60359"/>
    <w:rsid w:val="00B9797E"/>
    <w:rsid w:val="00BA16FA"/>
    <w:rsid w:val="00BB3058"/>
    <w:rsid w:val="00BC2DD2"/>
    <w:rsid w:val="00BC2EA9"/>
    <w:rsid w:val="00BE4F74"/>
    <w:rsid w:val="00BF2856"/>
    <w:rsid w:val="00BF28BE"/>
    <w:rsid w:val="00BF47F6"/>
    <w:rsid w:val="00BF7B5D"/>
    <w:rsid w:val="00C21E11"/>
    <w:rsid w:val="00C6090E"/>
    <w:rsid w:val="00C62DF4"/>
    <w:rsid w:val="00C64B97"/>
    <w:rsid w:val="00C67774"/>
    <w:rsid w:val="00C713DE"/>
    <w:rsid w:val="00C76980"/>
    <w:rsid w:val="00CB2282"/>
    <w:rsid w:val="00CF008E"/>
    <w:rsid w:val="00D21462"/>
    <w:rsid w:val="00D54B11"/>
    <w:rsid w:val="00D61D28"/>
    <w:rsid w:val="00D96E30"/>
    <w:rsid w:val="00DA2996"/>
    <w:rsid w:val="00DA32AE"/>
    <w:rsid w:val="00DA3821"/>
    <w:rsid w:val="00DC0267"/>
    <w:rsid w:val="00DC5D41"/>
    <w:rsid w:val="00DE5B48"/>
    <w:rsid w:val="00E2040A"/>
    <w:rsid w:val="00E26004"/>
    <w:rsid w:val="00E27C96"/>
    <w:rsid w:val="00E43C61"/>
    <w:rsid w:val="00EA2412"/>
    <w:rsid w:val="00EA7D55"/>
    <w:rsid w:val="00EB0B11"/>
    <w:rsid w:val="00EC5AFC"/>
    <w:rsid w:val="00EF477A"/>
    <w:rsid w:val="00F16100"/>
    <w:rsid w:val="00F31DED"/>
    <w:rsid w:val="00F432FB"/>
    <w:rsid w:val="00FA48B0"/>
    <w:rsid w:val="00FE4900"/>
    <w:rsid w:val="00FF07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931B"/>
  <w15:chartTrackingRefBased/>
  <w15:docId w15:val="{80860E18-8C93-423B-A23D-6A9DB2A0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B8C"/>
    <w:pPr>
      <w:spacing w:after="200" w:line="276" w:lineRule="auto"/>
    </w:pPr>
    <w:rPr>
      <w:rFonts w:ascii="Calibri" w:eastAsia="Calibri" w:hAnsi="Calibri" w:cs="Times New Roman"/>
    </w:rPr>
  </w:style>
  <w:style w:type="paragraph" w:styleId="Titre2">
    <w:name w:val="heading 2"/>
    <w:basedOn w:val="Normal"/>
    <w:next w:val="Normal"/>
    <w:link w:val="Titre2Car"/>
    <w:uiPriority w:val="9"/>
    <w:semiHidden/>
    <w:unhideWhenUsed/>
    <w:qFormat/>
    <w:rsid w:val="00327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31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331B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1B8C"/>
    <w:rPr>
      <w:rFonts w:ascii="Calibri" w:eastAsia="Calibri" w:hAnsi="Calibri" w:cs="Times New Roman"/>
    </w:rPr>
  </w:style>
  <w:style w:type="paragraph" w:styleId="Paragraphedeliste">
    <w:name w:val="List Paragraph"/>
    <w:aliases w:val="References,Bullets,RM1,lp1,Liste 1,AM1List Para"/>
    <w:basedOn w:val="Normal"/>
    <w:link w:val="ParagraphedelisteCar"/>
    <w:uiPriority w:val="34"/>
    <w:qFormat/>
    <w:rsid w:val="00331B8C"/>
    <w:pPr>
      <w:ind w:left="720"/>
      <w:contextualSpacing/>
    </w:pPr>
  </w:style>
  <w:style w:type="character" w:customStyle="1" w:styleId="ParagraphedelisteCar">
    <w:name w:val="Paragraphe de liste Car"/>
    <w:aliases w:val="References Car,Bullets Car,RM1 Car,lp1 Car,Liste 1 Car,AM1List Para Car"/>
    <w:link w:val="Paragraphedeliste"/>
    <w:uiPriority w:val="34"/>
    <w:locked/>
    <w:rsid w:val="00331B8C"/>
    <w:rPr>
      <w:rFonts w:ascii="Calibri" w:eastAsia="Calibri" w:hAnsi="Calibri" w:cs="Times New Roman"/>
    </w:rPr>
  </w:style>
  <w:style w:type="character" w:customStyle="1" w:styleId="fullarticletexte">
    <w:name w:val="fullarticletexte"/>
    <w:basedOn w:val="Policepardfaut"/>
    <w:rsid w:val="00331B8C"/>
  </w:style>
  <w:style w:type="paragraph" w:customStyle="1" w:styleId="spip">
    <w:name w:val="spip"/>
    <w:basedOn w:val="Normal"/>
    <w:rsid w:val="00331B8C"/>
    <w:pPr>
      <w:spacing w:before="100" w:beforeAutospacing="1" w:after="100" w:afterAutospacing="1" w:line="240" w:lineRule="auto"/>
    </w:pPr>
    <w:rPr>
      <w:rFonts w:ascii="Times New Roman" w:eastAsia="Times New Roman" w:hAnsi="Times New Roman"/>
      <w:sz w:val="24"/>
      <w:szCs w:val="24"/>
      <w:lang w:eastAsia="fr-FR"/>
    </w:rPr>
  </w:style>
  <w:style w:type="paragraph" w:styleId="NormalWeb">
    <w:name w:val="Normal (Web)"/>
    <w:basedOn w:val="Normal"/>
    <w:uiPriority w:val="99"/>
    <w:unhideWhenUsed/>
    <w:rsid w:val="00331B8C"/>
    <w:pPr>
      <w:spacing w:before="100" w:beforeAutospacing="1" w:after="100" w:afterAutospacing="1" w:line="240" w:lineRule="auto"/>
    </w:pPr>
    <w:rPr>
      <w:rFonts w:ascii="Times New Roman" w:eastAsia="Times New Roman" w:hAnsi="Times New Roman"/>
      <w:sz w:val="24"/>
      <w:szCs w:val="24"/>
      <w:lang w:eastAsia="fr-FR"/>
    </w:rPr>
  </w:style>
  <w:style w:type="character" w:styleId="Accentuation">
    <w:name w:val="Emphasis"/>
    <w:basedOn w:val="Policepardfaut"/>
    <w:uiPriority w:val="20"/>
    <w:qFormat/>
    <w:rsid w:val="004A4A8D"/>
    <w:rPr>
      <w:i/>
      <w:iCs/>
    </w:rPr>
  </w:style>
  <w:style w:type="character" w:customStyle="1" w:styleId="Titre2Car">
    <w:name w:val="Titre 2 Car"/>
    <w:basedOn w:val="Policepardfaut"/>
    <w:link w:val="Titre2"/>
    <w:uiPriority w:val="9"/>
    <w:semiHidden/>
    <w:rsid w:val="00327DB9"/>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6775C4"/>
    <w:pPr>
      <w:tabs>
        <w:tab w:val="center" w:pos="4536"/>
        <w:tab w:val="right" w:pos="9072"/>
      </w:tabs>
      <w:spacing w:after="0" w:line="240" w:lineRule="auto"/>
    </w:pPr>
  </w:style>
  <w:style w:type="character" w:customStyle="1" w:styleId="En-tteCar">
    <w:name w:val="En-tête Car"/>
    <w:basedOn w:val="Policepardfaut"/>
    <w:link w:val="En-tte"/>
    <w:uiPriority w:val="99"/>
    <w:rsid w:val="006775C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4078">
      <w:bodyDiv w:val="1"/>
      <w:marLeft w:val="0"/>
      <w:marRight w:val="0"/>
      <w:marTop w:val="0"/>
      <w:marBottom w:val="0"/>
      <w:divBdr>
        <w:top w:val="none" w:sz="0" w:space="0" w:color="auto"/>
        <w:left w:val="none" w:sz="0" w:space="0" w:color="auto"/>
        <w:bottom w:val="none" w:sz="0" w:space="0" w:color="auto"/>
        <w:right w:val="none" w:sz="0" w:space="0" w:color="auto"/>
      </w:divBdr>
    </w:div>
    <w:div w:id="359627965">
      <w:bodyDiv w:val="1"/>
      <w:marLeft w:val="0"/>
      <w:marRight w:val="0"/>
      <w:marTop w:val="0"/>
      <w:marBottom w:val="0"/>
      <w:divBdr>
        <w:top w:val="none" w:sz="0" w:space="0" w:color="auto"/>
        <w:left w:val="none" w:sz="0" w:space="0" w:color="auto"/>
        <w:bottom w:val="none" w:sz="0" w:space="0" w:color="auto"/>
        <w:right w:val="none" w:sz="0" w:space="0" w:color="auto"/>
      </w:divBdr>
    </w:div>
    <w:div w:id="542450685">
      <w:bodyDiv w:val="1"/>
      <w:marLeft w:val="0"/>
      <w:marRight w:val="0"/>
      <w:marTop w:val="0"/>
      <w:marBottom w:val="0"/>
      <w:divBdr>
        <w:top w:val="none" w:sz="0" w:space="0" w:color="auto"/>
        <w:left w:val="none" w:sz="0" w:space="0" w:color="auto"/>
        <w:bottom w:val="none" w:sz="0" w:space="0" w:color="auto"/>
        <w:right w:val="none" w:sz="0" w:space="0" w:color="auto"/>
      </w:divBdr>
    </w:div>
    <w:div w:id="550774668">
      <w:bodyDiv w:val="1"/>
      <w:marLeft w:val="0"/>
      <w:marRight w:val="0"/>
      <w:marTop w:val="0"/>
      <w:marBottom w:val="0"/>
      <w:divBdr>
        <w:top w:val="none" w:sz="0" w:space="0" w:color="auto"/>
        <w:left w:val="none" w:sz="0" w:space="0" w:color="auto"/>
        <w:bottom w:val="none" w:sz="0" w:space="0" w:color="auto"/>
        <w:right w:val="none" w:sz="0" w:space="0" w:color="auto"/>
      </w:divBdr>
    </w:div>
    <w:div w:id="716050516">
      <w:bodyDiv w:val="1"/>
      <w:marLeft w:val="0"/>
      <w:marRight w:val="0"/>
      <w:marTop w:val="0"/>
      <w:marBottom w:val="0"/>
      <w:divBdr>
        <w:top w:val="none" w:sz="0" w:space="0" w:color="auto"/>
        <w:left w:val="none" w:sz="0" w:space="0" w:color="auto"/>
        <w:bottom w:val="none" w:sz="0" w:space="0" w:color="auto"/>
        <w:right w:val="none" w:sz="0" w:space="0" w:color="auto"/>
      </w:divBdr>
      <w:divsChild>
        <w:div w:id="1181551438">
          <w:marLeft w:val="0"/>
          <w:marRight w:val="0"/>
          <w:marTop w:val="0"/>
          <w:marBottom w:val="0"/>
          <w:divBdr>
            <w:top w:val="none" w:sz="0" w:space="0" w:color="auto"/>
            <w:left w:val="none" w:sz="0" w:space="0" w:color="auto"/>
            <w:bottom w:val="none" w:sz="0" w:space="0" w:color="auto"/>
            <w:right w:val="none" w:sz="0" w:space="0" w:color="auto"/>
          </w:divBdr>
          <w:divsChild>
            <w:div w:id="2100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1136">
      <w:bodyDiv w:val="1"/>
      <w:marLeft w:val="0"/>
      <w:marRight w:val="0"/>
      <w:marTop w:val="0"/>
      <w:marBottom w:val="0"/>
      <w:divBdr>
        <w:top w:val="none" w:sz="0" w:space="0" w:color="auto"/>
        <w:left w:val="none" w:sz="0" w:space="0" w:color="auto"/>
        <w:bottom w:val="none" w:sz="0" w:space="0" w:color="auto"/>
        <w:right w:val="none" w:sz="0" w:space="0" w:color="auto"/>
      </w:divBdr>
    </w:div>
    <w:div w:id="815297183">
      <w:bodyDiv w:val="1"/>
      <w:marLeft w:val="0"/>
      <w:marRight w:val="0"/>
      <w:marTop w:val="0"/>
      <w:marBottom w:val="0"/>
      <w:divBdr>
        <w:top w:val="none" w:sz="0" w:space="0" w:color="auto"/>
        <w:left w:val="none" w:sz="0" w:space="0" w:color="auto"/>
        <w:bottom w:val="none" w:sz="0" w:space="0" w:color="auto"/>
        <w:right w:val="none" w:sz="0" w:space="0" w:color="auto"/>
      </w:divBdr>
    </w:div>
    <w:div w:id="1037311578">
      <w:bodyDiv w:val="1"/>
      <w:marLeft w:val="0"/>
      <w:marRight w:val="0"/>
      <w:marTop w:val="0"/>
      <w:marBottom w:val="0"/>
      <w:divBdr>
        <w:top w:val="none" w:sz="0" w:space="0" w:color="auto"/>
        <w:left w:val="none" w:sz="0" w:space="0" w:color="auto"/>
        <w:bottom w:val="none" w:sz="0" w:space="0" w:color="auto"/>
        <w:right w:val="none" w:sz="0" w:space="0" w:color="auto"/>
      </w:divBdr>
    </w:div>
    <w:div w:id="1333798792">
      <w:bodyDiv w:val="1"/>
      <w:marLeft w:val="0"/>
      <w:marRight w:val="0"/>
      <w:marTop w:val="0"/>
      <w:marBottom w:val="0"/>
      <w:divBdr>
        <w:top w:val="none" w:sz="0" w:space="0" w:color="auto"/>
        <w:left w:val="none" w:sz="0" w:space="0" w:color="auto"/>
        <w:bottom w:val="none" w:sz="0" w:space="0" w:color="auto"/>
        <w:right w:val="none" w:sz="0" w:space="0" w:color="auto"/>
      </w:divBdr>
    </w:div>
    <w:div w:id="1344015740">
      <w:bodyDiv w:val="1"/>
      <w:marLeft w:val="0"/>
      <w:marRight w:val="0"/>
      <w:marTop w:val="0"/>
      <w:marBottom w:val="0"/>
      <w:divBdr>
        <w:top w:val="none" w:sz="0" w:space="0" w:color="auto"/>
        <w:left w:val="none" w:sz="0" w:space="0" w:color="auto"/>
        <w:bottom w:val="none" w:sz="0" w:space="0" w:color="auto"/>
        <w:right w:val="none" w:sz="0" w:space="0" w:color="auto"/>
      </w:divBdr>
    </w:div>
    <w:div w:id="1562059110">
      <w:bodyDiv w:val="1"/>
      <w:marLeft w:val="0"/>
      <w:marRight w:val="0"/>
      <w:marTop w:val="0"/>
      <w:marBottom w:val="0"/>
      <w:divBdr>
        <w:top w:val="none" w:sz="0" w:space="0" w:color="auto"/>
        <w:left w:val="none" w:sz="0" w:space="0" w:color="auto"/>
        <w:bottom w:val="none" w:sz="0" w:space="0" w:color="auto"/>
        <w:right w:val="none" w:sz="0" w:space="0" w:color="auto"/>
      </w:divBdr>
    </w:div>
    <w:div w:id="1569338286">
      <w:bodyDiv w:val="1"/>
      <w:marLeft w:val="0"/>
      <w:marRight w:val="0"/>
      <w:marTop w:val="0"/>
      <w:marBottom w:val="0"/>
      <w:divBdr>
        <w:top w:val="none" w:sz="0" w:space="0" w:color="auto"/>
        <w:left w:val="none" w:sz="0" w:space="0" w:color="auto"/>
        <w:bottom w:val="none" w:sz="0" w:space="0" w:color="auto"/>
        <w:right w:val="none" w:sz="0" w:space="0" w:color="auto"/>
      </w:divBdr>
    </w:div>
    <w:div w:id="170459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rade.ec.europa.eu/doclib/docs/2015/january/tradoc_153036.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eas.europa.eu/sites/eeas/files/ape_1_fr.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c.europa.eu/fisheries/cfp/international/agreements/cote_d_ivoire_fr" TargetMode="External"/><Relationship Id="rId4" Type="http://schemas.openxmlformats.org/officeDocument/2006/relationships/settings" Target="settings.xml"/><Relationship Id="rId9" Type="http://schemas.openxmlformats.org/officeDocument/2006/relationships/hyperlink" Target="http://eur-lex.europa.eu/legal-content/FR/TXT/?uri=URISERV:r12101"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25B2F-D4D0-4884-9FE8-729A47A41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3</Pages>
  <Words>856</Words>
  <Characters>4708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Dafexci2016</cp:lastModifiedBy>
  <cp:revision>115</cp:revision>
  <dcterms:created xsi:type="dcterms:W3CDTF">2017-12-27T16:03:00Z</dcterms:created>
  <dcterms:modified xsi:type="dcterms:W3CDTF">2018-07-17T13:02:00Z</dcterms:modified>
</cp:coreProperties>
</file>