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E4B" w:rsidRPr="00147F33" w:rsidRDefault="00A91FE8" w:rsidP="00147F33">
      <w:pPr>
        <w:pStyle w:val="Titre"/>
        <w:jc w:val="center"/>
        <w:rPr>
          <w:rFonts w:ascii="Arial Narrow" w:hAnsi="Arial Narrow"/>
          <w:sz w:val="40"/>
          <w:lang w:val="fr-CI"/>
        </w:rPr>
      </w:pPr>
      <w:r w:rsidRPr="00147F33">
        <w:rPr>
          <w:rFonts w:ascii="Arial Narrow" w:hAnsi="Arial Narrow"/>
          <w:sz w:val="40"/>
          <w:lang w:val="fr-CI"/>
        </w:rPr>
        <w:t>EVALUATION DU POTENTIEL DE COMMERCE ENTRE L’ALGÉRIE ET LA CEDEAO</w:t>
      </w:r>
      <w:r>
        <w:rPr>
          <w:rFonts w:ascii="Arial Narrow" w:hAnsi="Arial Narrow"/>
          <w:sz w:val="40"/>
          <w:lang w:val="fr-CI"/>
        </w:rPr>
        <w:t> : MÉTHODOLOGIE</w:t>
      </w:r>
    </w:p>
    <w:p w:rsidR="007776F3" w:rsidRDefault="007776F3">
      <w:pPr>
        <w:rPr>
          <w:lang w:val="fr-CI"/>
        </w:rPr>
      </w:pPr>
    </w:p>
    <w:p w:rsidR="00457B74" w:rsidRPr="00DA409B" w:rsidRDefault="00457B74" w:rsidP="00457B74">
      <w:pPr>
        <w:pStyle w:val="Titre1"/>
        <w:numPr>
          <w:ilvl w:val="0"/>
          <w:numId w:val="1"/>
        </w:numPr>
        <w:rPr>
          <w:rFonts w:ascii="Arial Narrow" w:hAnsi="Arial Narrow" w:cs="Times New Roman"/>
          <w:color w:val="auto"/>
          <w:sz w:val="24"/>
          <w:szCs w:val="24"/>
        </w:rPr>
      </w:pPr>
      <w:r w:rsidRPr="00DA409B">
        <w:rPr>
          <w:rFonts w:ascii="Arial Narrow" w:hAnsi="Arial Narrow" w:cs="Times New Roman"/>
          <w:color w:val="auto"/>
          <w:sz w:val="24"/>
          <w:szCs w:val="24"/>
        </w:rPr>
        <w:t>Méthodologie</w:t>
      </w:r>
    </w:p>
    <w:p w:rsidR="00457B74" w:rsidRPr="00DA409B" w:rsidRDefault="00457B74" w:rsidP="00457B74">
      <w:pPr>
        <w:rPr>
          <w:rFonts w:ascii="Arial Narrow" w:hAnsi="Arial Narrow" w:cs="Times New Roman"/>
          <w:sz w:val="24"/>
          <w:szCs w:val="24"/>
        </w:rPr>
      </w:pPr>
    </w:p>
    <w:p w:rsidR="00457B74" w:rsidRPr="00DA409B" w:rsidRDefault="00457B74" w:rsidP="00457B74">
      <w:pPr>
        <w:spacing w:line="360" w:lineRule="auto"/>
        <w:jc w:val="both"/>
        <w:rPr>
          <w:rFonts w:ascii="Arial Narrow" w:hAnsi="Arial Narrow" w:cs="Times New Roman"/>
          <w:sz w:val="24"/>
          <w:szCs w:val="24"/>
          <w:lang w:val="fr-CI"/>
        </w:rPr>
      </w:pPr>
      <w:r w:rsidRPr="00DA409B">
        <w:rPr>
          <w:rFonts w:ascii="Arial Narrow" w:hAnsi="Arial Narrow" w:cs="Times New Roman"/>
          <w:sz w:val="24"/>
          <w:szCs w:val="24"/>
          <w:lang w:val="fr-CI"/>
        </w:rPr>
        <w:t>Cette analyse s’appuie sur un modèle de gravité</w:t>
      </w:r>
      <w:r w:rsidR="00E262A8" w:rsidRPr="00DA409B">
        <w:rPr>
          <w:rFonts w:ascii="Arial Narrow" w:hAnsi="Arial Narrow" w:cs="Times New Roman"/>
          <w:sz w:val="24"/>
          <w:szCs w:val="24"/>
          <w:lang w:val="fr-CI"/>
        </w:rPr>
        <w:t xml:space="preserve"> en panel</w:t>
      </w:r>
      <w:r w:rsidRPr="00DA409B">
        <w:rPr>
          <w:rFonts w:ascii="Arial Narrow" w:hAnsi="Arial Narrow" w:cs="Times New Roman"/>
          <w:sz w:val="24"/>
          <w:szCs w:val="24"/>
          <w:lang w:val="fr-CI"/>
        </w:rPr>
        <w:t xml:space="preserve"> inspiré des travaux de Anderson et Van Wincoop (2003)</w:t>
      </w:r>
      <w:r w:rsidRPr="00DA409B">
        <w:rPr>
          <w:rStyle w:val="Appelnotedebasdep"/>
          <w:rFonts w:ascii="Arial Narrow" w:hAnsi="Arial Narrow" w:cs="Times New Roman"/>
          <w:sz w:val="24"/>
          <w:szCs w:val="24"/>
          <w:lang w:val="fr-CI"/>
        </w:rPr>
        <w:footnoteReference w:id="1"/>
      </w:r>
      <w:r w:rsidRPr="00DA409B">
        <w:rPr>
          <w:rFonts w:ascii="Arial Narrow" w:hAnsi="Arial Narrow" w:cs="Times New Roman"/>
          <w:sz w:val="24"/>
          <w:szCs w:val="24"/>
          <w:lang w:val="fr-CI"/>
        </w:rPr>
        <w:t xml:space="preserve">. Les paires de pays dont le pays exportateur est </w:t>
      </w:r>
      <w:r w:rsidR="00E262A8" w:rsidRPr="00DA409B">
        <w:rPr>
          <w:rFonts w:ascii="Arial Narrow" w:hAnsi="Arial Narrow" w:cs="Times New Roman"/>
          <w:sz w:val="24"/>
          <w:szCs w:val="24"/>
          <w:lang w:val="fr-CI"/>
        </w:rPr>
        <w:t>l’Algérie</w:t>
      </w:r>
      <w:r w:rsidRPr="00DA409B">
        <w:rPr>
          <w:rFonts w:ascii="Arial Narrow" w:hAnsi="Arial Narrow" w:cs="Times New Roman"/>
          <w:sz w:val="24"/>
          <w:szCs w:val="24"/>
          <w:lang w:val="fr-CI"/>
        </w:rPr>
        <w:t xml:space="preserve"> et le pays importateur, tout autre pays de </w:t>
      </w:r>
      <w:r w:rsidR="00E262A8" w:rsidRPr="00DA409B">
        <w:rPr>
          <w:rFonts w:ascii="Arial Narrow" w:hAnsi="Arial Narrow" w:cs="Times New Roman"/>
          <w:sz w:val="24"/>
          <w:szCs w:val="24"/>
          <w:lang w:val="fr-CI"/>
        </w:rPr>
        <w:t>la CEDEAO, sont les individus de ce panel</w:t>
      </w:r>
      <w:r w:rsidRPr="00DA409B">
        <w:rPr>
          <w:rFonts w:ascii="Arial Narrow" w:hAnsi="Arial Narrow" w:cs="Times New Roman"/>
          <w:sz w:val="24"/>
          <w:szCs w:val="24"/>
          <w:lang w:val="fr-CI"/>
        </w:rPr>
        <w:t>. La période d’analyse est de 1996 à 201</w:t>
      </w:r>
      <w:r w:rsidR="00E262A8" w:rsidRPr="00DA409B">
        <w:rPr>
          <w:rFonts w:ascii="Arial Narrow" w:hAnsi="Arial Narrow" w:cs="Times New Roman"/>
          <w:sz w:val="24"/>
          <w:szCs w:val="24"/>
          <w:lang w:val="fr-CI"/>
        </w:rPr>
        <w:t>6</w:t>
      </w:r>
      <w:r w:rsidRPr="00DA409B">
        <w:rPr>
          <w:rFonts w:ascii="Arial Narrow" w:hAnsi="Arial Narrow" w:cs="Times New Roman"/>
          <w:sz w:val="24"/>
          <w:szCs w:val="24"/>
          <w:lang w:val="fr-CI"/>
        </w:rPr>
        <w:t xml:space="preserve">. Cette section présentant la méthodologie de l’analyse, s’articule autour de </w:t>
      </w:r>
      <w:r w:rsidR="00E262A8" w:rsidRPr="00DA409B">
        <w:rPr>
          <w:rFonts w:ascii="Arial Narrow" w:hAnsi="Arial Narrow" w:cs="Times New Roman"/>
          <w:sz w:val="24"/>
          <w:szCs w:val="24"/>
          <w:lang w:val="fr-CI"/>
        </w:rPr>
        <w:t xml:space="preserve">trois </w:t>
      </w:r>
      <w:r w:rsidRPr="00DA409B">
        <w:rPr>
          <w:rFonts w:ascii="Arial Narrow" w:hAnsi="Arial Narrow" w:cs="Times New Roman"/>
          <w:sz w:val="24"/>
          <w:szCs w:val="24"/>
          <w:lang w:val="fr-CI"/>
        </w:rPr>
        <w:t xml:space="preserve">points. Le premier présente la spécification du modèle de gravité et la méthode d’estimation. Le </w:t>
      </w:r>
      <w:r w:rsidR="00E262A8" w:rsidRPr="00DA409B">
        <w:rPr>
          <w:rFonts w:ascii="Arial Narrow" w:hAnsi="Arial Narrow" w:cs="Times New Roman"/>
          <w:sz w:val="24"/>
          <w:szCs w:val="24"/>
          <w:lang w:val="fr-CI"/>
        </w:rPr>
        <w:t>deuxième</w:t>
      </w:r>
      <w:r w:rsidRPr="00DA409B">
        <w:rPr>
          <w:rFonts w:ascii="Arial Narrow" w:hAnsi="Arial Narrow" w:cs="Times New Roman"/>
          <w:sz w:val="24"/>
          <w:szCs w:val="24"/>
          <w:lang w:val="fr-CI"/>
        </w:rPr>
        <w:t xml:space="preserve"> s’intéresse aux données utilisées en mettant en évidence les signes attendus.</w:t>
      </w:r>
      <w:r w:rsidR="00E262A8" w:rsidRPr="00DA409B">
        <w:rPr>
          <w:rFonts w:ascii="Arial Narrow" w:hAnsi="Arial Narrow" w:cs="Times New Roman"/>
          <w:sz w:val="24"/>
          <w:szCs w:val="24"/>
          <w:lang w:val="fr-CI"/>
        </w:rPr>
        <w:t xml:space="preserve"> Le troisième présente l’approche d’évaluation du potentiel de commerce entre l’Algérie et la CEDEAO d’une part et d’autre part entre l’Algérie et chaque pays membre de l’espace </w:t>
      </w:r>
      <w:r w:rsidR="00DA409B" w:rsidRPr="00DA409B">
        <w:rPr>
          <w:rFonts w:ascii="Arial Narrow" w:hAnsi="Arial Narrow" w:cs="Times New Roman"/>
          <w:sz w:val="24"/>
          <w:szCs w:val="24"/>
          <w:lang w:val="fr-CI"/>
        </w:rPr>
        <w:t>sous régional</w:t>
      </w:r>
      <w:r w:rsidR="00E262A8" w:rsidRPr="00DA409B">
        <w:rPr>
          <w:rFonts w:ascii="Arial Narrow" w:hAnsi="Arial Narrow" w:cs="Times New Roman"/>
          <w:sz w:val="24"/>
          <w:szCs w:val="24"/>
          <w:lang w:val="fr-CI"/>
        </w:rPr>
        <w:t>.</w:t>
      </w:r>
    </w:p>
    <w:p w:rsidR="00457B74" w:rsidRPr="00AD1D2B" w:rsidRDefault="00457B74" w:rsidP="00457B74">
      <w:pPr>
        <w:pStyle w:val="Titre2"/>
        <w:numPr>
          <w:ilvl w:val="1"/>
          <w:numId w:val="1"/>
        </w:numPr>
        <w:rPr>
          <w:rFonts w:ascii="Arial Narrow" w:hAnsi="Arial Narrow" w:cs="Times New Roman"/>
          <w:color w:val="auto"/>
          <w:sz w:val="24"/>
          <w:szCs w:val="24"/>
        </w:rPr>
      </w:pPr>
      <w:r w:rsidRPr="00AD1D2B">
        <w:rPr>
          <w:rFonts w:ascii="Arial Narrow" w:hAnsi="Arial Narrow" w:cs="Times New Roman"/>
          <w:color w:val="auto"/>
          <w:sz w:val="24"/>
          <w:szCs w:val="24"/>
        </w:rPr>
        <w:t>Spécification économétrique et méthode d’estimation</w:t>
      </w:r>
    </w:p>
    <w:p w:rsidR="00457B74" w:rsidRPr="00AD1D2B" w:rsidRDefault="00457B74" w:rsidP="00457B74">
      <w:pPr>
        <w:rPr>
          <w:rFonts w:ascii="Arial Narrow" w:hAnsi="Arial Narrow" w:cs="Times New Roman"/>
          <w:sz w:val="24"/>
          <w:szCs w:val="24"/>
          <w:lang w:val="fr-CI"/>
        </w:rPr>
      </w:pPr>
    </w:p>
    <w:p w:rsidR="00457B74" w:rsidRPr="00AD1D2B" w:rsidRDefault="00457B74" w:rsidP="00457B74">
      <w:pPr>
        <w:spacing w:line="360" w:lineRule="auto"/>
        <w:jc w:val="both"/>
        <w:rPr>
          <w:rFonts w:ascii="Arial Narrow" w:hAnsi="Arial Narrow" w:cs="Times New Roman"/>
          <w:sz w:val="24"/>
          <w:szCs w:val="24"/>
          <w:lang w:val="fr-CI"/>
        </w:rPr>
      </w:pPr>
      <w:r w:rsidRPr="00AD1D2B">
        <w:rPr>
          <w:rFonts w:ascii="Arial Narrow" w:hAnsi="Arial Narrow" w:cs="Times New Roman"/>
          <w:sz w:val="24"/>
          <w:szCs w:val="24"/>
          <w:lang w:val="fr-CI"/>
        </w:rPr>
        <w:t>La spécification originale du modèle de gravité inspirée de la relation physique met en relation le PIB des pays partenaires, la distance et un ensemble de variables de contrôle. Elle est donnée par l’équation (1) :</w:t>
      </w:r>
    </w:p>
    <w:p w:rsidR="00457B74" w:rsidRPr="00457B74" w:rsidRDefault="004C198B" w:rsidP="00457B74">
      <w:pPr>
        <w:tabs>
          <w:tab w:val="left" w:pos="983"/>
        </w:tabs>
        <w:spacing w:line="360" w:lineRule="auto"/>
        <w:jc w:val="right"/>
        <w:rPr>
          <w:rFonts w:ascii="Cambria Math" w:hAnsi="Cambria Math" w:cs="Times New Roman"/>
          <w:i/>
          <w:sz w:val="24"/>
          <w:szCs w:val="24"/>
          <w:lang w:val="fr-CI"/>
        </w:rPr>
      </w:pPr>
      <m:oMath>
        <m:sSub>
          <m:sSubPr>
            <m:ctrlPr>
              <w:rPr>
                <w:rFonts w:ascii="Cambria Math" w:hAnsi="Cambria Math" w:cs="Times New Roman"/>
                <w:i/>
                <w:sz w:val="24"/>
                <w:szCs w:val="24"/>
              </w:rPr>
            </m:ctrlPr>
          </m:sSubPr>
          <m:e>
            <m:r>
              <w:rPr>
                <w:rFonts w:ascii="Cambria Math" w:hAnsi="Cambria Math" w:cs="Times New Roman"/>
                <w:sz w:val="24"/>
                <w:szCs w:val="24"/>
              </w:rPr>
              <m:t>Export</m:t>
            </m:r>
          </m:e>
          <m:sub>
            <m:r>
              <w:rPr>
                <w:rFonts w:ascii="Cambria Math" w:hAnsi="Cambria Math" w:cs="Times New Roman"/>
                <w:sz w:val="24"/>
                <w:szCs w:val="24"/>
              </w:rPr>
              <m:t>ij</m:t>
            </m:r>
            <m:r>
              <w:rPr>
                <w:rFonts w:ascii="Cambria Math" w:hAnsi="Cambria Math" w:cs="Times New Roman"/>
                <w:sz w:val="24"/>
                <w:szCs w:val="24"/>
                <w:lang w:val="fr-CI"/>
              </w:rPr>
              <m:t>,</m:t>
            </m:r>
            <m:r>
              <w:rPr>
                <w:rFonts w:ascii="Cambria Math" w:hAnsi="Cambria Math" w:cs="Times New Roman"/>
                <w:sz w:val="24"/>
                <w:szCs w:val="24"/>
              </w:rPr>
              <m:t>t</m:t>
            </m:r>
            <m:r>
              <w:rPr>
                <w:rFonts w:ascii="Cambria Math" w:hAnsi="Cambria Math" w:cs="Times New Roman"/>
                <w:sz w:val="24"/>
                <w:szCs w:val="24"/>
                <w:lang w:val="fr-CI"/>
              </w:rPr>
              <m:t xml:space="preserve"> </m:t>
            </m:r>
          </m:sub>
        </m:sSub>
        <m:r>
          <w:rPr>
            <w:rFonts w:ascii="Cambria Math" w:hAnsi="Cambria Math" w:cs="Times New Roman"/>
            <w:sz w:val="24"/>
            <w:szCs w:val="24"/>
            <w:lang w:val="fr-CI"/>
          </w:rPr>
          <m:t>=</m:t>
        </m:r>
        <m:r>
          <w:rPr>
            <w:rFonts w:ascii="Cambria Math" w:hAnsi="Cambria Math" w:cs="Times New Roman"/>
            <w:sz w:val="24"/>
            <w:szCs w:val="24"/>
          </w:rPr>
          <m:t>A</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PIB</m:t>
                    </m:r>
                  </m:e>
                  <m:sub>
                    <m:r>
                      <w:rPr>
                        <w:rFonts w:ascii="Cambria Math" w:hAnsi="Cambria Math" w:cs="Times New Roman"/>
                        <w:sz w:val="24"/>
                        <w:szCs w:val="24"/>
                      </w:rPr>
                      <m:t>it</m:t>
                    </m:r>
                  </m:sub>
                </m:sSub>
              </m:e>
              <m:sup>
                <m:r>
                  <w:rPr>
                    <w:rFonts w:ascii="Cambria Math" w:hAnsi="Cambria Math" w:cs="Times New Roman"/>
                    <w:sz w:val="24"/>
                    <w:szCs w:val="24"/>
                  </w:rPr>
                  <m:t>θ</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PIB</m:t>
                    </m:r>
                  </m:e>
                  <m:sub>
                    <m:r>
                      <w:rPr>
                        <w:rFonts w:ascii="Cambria Math" w:hAnsi="Cambria Math" w:cs="Times New Roman"/>
                        <w:sz w:val="24"/>
                        <w:szCs w:val="24"/>
                      </w:rPr>
                      <m:t>jt</m:t>
                    </m:r>
                  </m:sub>
                </m:sSub>
              </m:e>
              <m:sup>
                <m:r>
                  <w:rPr>
                    <w:rFonts w:ascii="Cambria Math" w:hAnsi="Cambria Math" w:cs="Times New Roman"/>
                    <w:sz w:val="24"/>
                    <w:szCs w:val="24"/>
                  </w:rPr>
                  <m:t>ϑ</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μ</m:t>
                </m:r>
              </m:sup>
            </m:sSub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ijt</m:t>
                </m:r>
              </m:sub>
            </m:sSub>
          </m:sup>
        </m:sSup>
      </m:oMath>
      <w:r w:rsidR="00457B74" w:rsidRPr="00457B74">
        <w:rPr>
          <w:rFonts w:ascii="Cambria Math" w:hAnsi="Cambria Math" w:cs="Times New Roman"/>
          <w:i/>
          <w:sz w:val="24"/>
          <w:szCs w:val="24"/>
          <w:lang w:val="fr-CI"/>
        </w:rPr>
        <w:tab/>
      </w:r>
      <w:r w:rsidR="00457B74" w:rsidRPr="00457B74">
        <w:rPr>
          <w:rFonts w:ascii="Cambria Math" w:hAnsi="Cambria Math" w:cs="Times New Roman"/>
          <w:i/>
          <w:sz w:val="24"/>
          <w:szCs w:val="24"/>
          <w:lang w:val="fr-CI"/>
        </w:rPr>
        <w:tab/>
      </w:r>
      <w:r w:rsidR="00457B74" w:rsidRPr="00457B74">
        <w:rPr>
          <w:rFonts w:ascii="Cambria Math" w:hAnsi="Cambria Math" w:cs="Times New Roman"/>
          <w:i/>
          <w:sz w:val="24"/>
          <w:szCs w:val="24"/>
          <w:lang w:val="fr-CI"/>
        </w:rPr>
        <w:tab/>
      </w:r>
      <w:r w:rsidR="00457B74" w:rsidRPr="00457B74">
        <w:rPr>
          <w:rFonts w:ascii="Cambria Math" w:hAnsi="Cambria Math" w:cs="Times New Roman"/>
          <w:i/>
          <w:sz w:val="24"/>
          <w:szCs w:val="24"/>
          <w:lang w:val="fr-CI"/>
        </w:rPr>
        <w:tab/>
        <w:t xml:space="preserve">Equation </w:t>
      </w:r>
      <w:r w:rsidR="00457B74" w:rsidRPr="00212FF0">
        <w:rPr>
          <w:rFonts w:ascii="Cambria Math" w:hAnsi="Cambria Math" w:cs="Times New Roman"/>
          <w:i/>
          <w:sz w:val="24"/>
          <w:szCs w:val="24"/>
        </w:rPr>
        <w:fldChar w:fldCharType="begin"/>
      </w:r>
      <w:r w:rsidR="00457B74" w:rsidRPr="00457B74">
        <w:rPr>
          <w:rFonts w:ascii="Cambria Math" w:hAnsi="Cambria Math" w:cs="Times New Roman"/>
          <w:i/>
          <w:sz w:val="24"/>
          <w:szCs w:val="24"/>
          <w:lang w:val="fr-CI"/>
        </w:rPr>
        <w:instrText xml:space="preserve"> SEQ Équation \* ARABIC </w:instrText>
      </w:r>
      <w:r w:rsidR="00457B74" w:rsidRPr="00212FF0">
        <w:rPr>
          <w:rFonts w:ascii="Cambria Math" w:hAnsi="Cambria Math" w:cs="Times New Roman"/>
          <w:i/>
          <w:sz w:val="24"/>
          <w:szCs w:val="24"/>
        </w:rPr>
        <w:fldChar w:fldCharType="separate"/>
      </w:r>
      <w:r w:rsidR="00457B74" w:rsidRPr="00457B74">
        <w:rPr>
          <w:rFonts w:ascii="Cambria Math" w:hAnsi="Cambria Math" w:cs="Times New Roman"/>
          <w:i/>
          <w:sz w:val="24"/>
          <w:szCs w:val="24"/>
          <w:lang w:val="fr-CI"/>
        </w:rPr>
        <w:t>1</w:t>
      </w:r>
      <w:r w:rsidR="00457B74" w:rsidRPr="00212FF0">
        <w:rPr>
          <w:rFonts w:ascii="Cambria Math" w:hAnsi="Cambria Math" w:cs="Times New Roman"/>
          <w:i/>
          <w:sz w:val="24"/>
          <w:szCs w:val="24"/>
        </w:rPr>
        <w:fldChar w:fldCharType="end"/>
      </w:r>
    </w:p>
    <w:p w:rsidR="00457B74" w:rsidRPr="006902DB" w:rsidRDefault="00457B74" w:rsidP="006902DB">
      <w:pPr>
        <w:tabs>
          <w:tab w:val="left" w:pos="983"/>
        </w:tabs>
        <w:spacing w:line="360" w:lineRule="auto"/>
        <w:jc w:val="both"/>
        <w:rPr>
          <w:rFonts w:ascii="Arial Narrow" w:hAnsi="Arial Narrow" w:cs="Times New Roman"/>
          <w:sz w:val="24"/>
          <w:szCs w:val="24"/>
          <w:lang w:val="fr-CI"/>
        </w:rPr>
      </w:pPr>
      <w:r w:rsidRPr="00D00112">
        <w:rPr>
          <w:rFonts w:ascii="Arial Narrow" w:hAnsi="Arial Narrow" w:cs="Times New Roman"/>
          <w:sz w:val="24"/>
          <w:szCs w:val="24"/>
          <w:lang w:val="fr-CI"/>
        </w:rPr>
        <w:t xml:space="preserve">avec </w:t>
      </w:r>
      <m:oMath>
        <m:r>
          <w:rPr>
            <w:rFonts w:ascii="Cambria Math" w:hAnsi="Cambria Math" w:cs="Times New Roman"/>
            <w:sz w:val="24"/>
            <w:szCs w:val="24"/>
          </w:rPr>
          <m:t>i</m:t>
        </m:r>
      </m:oMath>
      <w:r w:rsidRPr="00D00112">
        <w:rPr>
          <w:rFonts w:ascii="Arial Narrow" w:hAnsi="Arial Narrow" w:cs="Times New Roman"/>
          <w:sz w:val="24"/>
          <w:szCs w:val="24"/>
          <w:lang w:val="fr-CI"/>
        </w:rPr>
        <w:t xml:space="preserve"> </w:t>
      </w:r>
      <w:r w:rsidR="00AD1D2B" w:rsidRPr="00D00112">
        <w:rPr>
          <w:rFonts w:ascii="Arial Narrow" w:hAnsi="Arial Narrow" w:cs="Times New Roman"/>
          <w:sz w:val="24"/>
          <w:szCs w:val="24"/>
          <w:lang w:val="fr-CI"/>
        </w:rPr>
        <w:t>l’Algérie</w:t>
      </w:r>
      <w:r w:rsidRPr="00D00112">
        <w:rPr>
          <w:rFonts w:ascii="Arial Narrow" w:hAnsi="Arial Narrow" w:cs="Times New Roman"/>
          <w:sz w:val="24"/>
          <w:szCs w:val="24"/>
          <w:lang w:val="fr-CI"/>
        </w:rPr>
        <w:t xml:space="preserve">, </w:t>
      </w:r>
      <m:oMath>
        <m:r>
          <w:rPr>
            <w:rFonts w:ascii="Cambria Math" w:hAnsi="Cambria Math" w:cs="Times New Roman"/>
            <w:sz w:val="24"/>
            <w:szCs w:val="24"/>
          </w:rPr>
          <m:t>j</m:t>
        </m:r>
      </m:oMath>
      <w:r w:rsidRPr="00D00112">
        <w:rPr>
          <w:rFonts w:ascii="Arial Narrow" w:hAnsi="Arial Narrow" w:cs="Times New Roman"/>
          <w:sz w:val="24"/>
          <w:szCs w:val="24"/>
          <w:lang w:val="fr-CI"/>
        </w:rPr>
        <w:t xml:space="preserve"> le pays partenaire membre de </w:t>
      </w:r>
      <w:r w:rsidR="00AD1D2B" w:rsidRPr="00D00112">
        <w:rPr>
          <w:rFonts w:ascii="Arial Narrow" w:hAnsi="Arial Narrow" w:cs="Times New Roman"/>
          <w:sz w:val="24"/>
          <w:szCs w:val="24"/>
          <w:lang w:val="fr-CI"/>
        </w:rPr>
        <w:t>la CEDEAO</w:t>
      </w:r>
      <w:r w:rsidRPr="00D00112">
        <w:rPr>
          <w:rFonts w:ascii="Arial Narrow" w:hAnsi="Arial Narrow" w:cs="Times New Roman"/>
          <w:sz w:val="24"/>
          <w:szCs w:val="24"/>
          <w:lang w:val="fr-CI"/>
        </w:rPr>
        <w:t xml:space="preserve"> et </w:t>
      </w:r>
      <m:oMath>
        <m:r>
          <w:rPr>
            <w:rFonts w:ascii="Cambria Math" w:hAnsi="Cambria Math" w:cs="Times New Roman"/>
            <w:sz w:val="24"/>
            <w:szCs w:val="24"/>
          </w:rPr>
          <m:t>t</m:t>
        </m:r>
      </m:oMath>
      <w:r w:rsidRPr="00D00112">
        <w:rPr>
          <w:rFonts w:ascii="Arial Narrow" w:hAnsi="Arial Narrow" w:cs="Times New Roman"/>
          <w:sz w:val="24"/>
          <w:szCs w:val="24"/>
          <w:lang w:val="fr-CI"/>
        </w:rPr>
        <w:t xml:space="preserve"> désigne le temps. </w:t>
      </w:r>
      <m:oMath>
        <m:r>
          <w:rPr>
            <w:rFonts w:ascii="Cambria Math" w:hAnsi="Cambria Math" w:cs="Times New Roman"/>
            <w:sz w:val="24"/>
            <w:szCs w:val="24"/>
          </w:rPr>
          <m:t>A</m:t>
        </m:r>
      </m:oMath>
      <w:r w:rsidRPr="00D00112">
        <w:rPr>
          <w:rFonts w:ascii="Arial Narrow" w:hAnsi="Arial Narrow" w:cs="Times New Roman"/>
          <w:sz w:val="24"/>
          <w:szCs w:val="24"/>
          <w:lang w:val="fr-CI"/>
        </w:rPr>
        <w:t xml:space="preserve"> </w:t>
      </w:r>
      <w:proofErr w:type="gramStart"/>
      <w:r w:rsidRPr="00D00112">
        <w:rPr>
          <w:rFonts w:ascii="Arial Narrow" w:hAnsi="Arial Narrow" w:cs="Times New Roman"/>
          <w:sz w:val="24"/>
          <w:szCs w:val="24"/>
          <w:lang w:val="fr-CI"/>
        </w:rPr>
        <w:t>est</w:t>
      </w:r>
      <w:proofErr w:type="gramEnd"/>
      <w:r w:rsidRPr="00D00112">
        <w:rPr>
          <w:rFonts w:ascii="Arial Narrow" w:hAnsi="Arial Narrow" w:cs="Times New Roman"/>
          <w:sz w:val="24"/>
          <w:szCs w:val="24"/>
          <w:lang w:val="fr-CI"/>
        </w:rPr>
        <w:t xml:space="preserve"> un paramètre d’échelle. </w:t>
      </w:r>
      <m:oMath>
        <m:sSub>
          <m:sSubPr>
            <m:ctrlPr>
              <w:rPr>
                <w:rFonts w:ascii="Cambria Math" w:hAnsi="Cambria Math" w:cs="Times New Roman"/>
                <w:i/>
                <w:sz w:val="24"/>
                <w:szCs w:val="24"/>
              </w:rPr>
            </m:ctrlPr>
          </m:sSubPr>
          <m:e>
            <m:r>
              <w:rPr>
                <w:rFonts w:ascii="Cambria Math" w:hAnsi="Cambria Math" w:cs="Times New Roman"/>
                <w:sz w:val="24"/>
                <w:szCs w:val="24"/>
              </w:rPr>
              <m:t>Export</m:t>
            </m:r>
          </m:e>
          <m:sub>
            <m:r>
              <w:rPr>
                <w:rFonts w:ascii="Cambria Math" w:hAnsi="Cambria Math" w:cs="Times New Roman"/>
                <w:sz w:val="24"/>
                <w:szCs w:val="24"/>
              </w:rPr>
              <m:t>ij</m:t>
            </m:r>
            <m:r>
              <w:rPr>
                <w:rFonts w:ascii="Cambria Math" w:hAnsi="Cambria Math" w:cs="Times New Roman"/>
                <w:sz w:val="24"/>
                <w:szCs w:val="24"/>
                <w:lang w:val="fr-CI"/>
              </w:rPr>
              <m:t>,</m:t>
            </m:r>
            <m:r>
              <w:rPr>
                <w:rFonts w:ascii="Cambria Math" w:hAnsi="Cambria Math" w:cs="Times New Roman"/>
                <w:sz w:val="24"/>
                <w:szCs w:val="24"/>
              </w:rPr>
              <m:t>t</m:t>
            </m:r>
            <m:r>
              <w:rPr>
                <w:rFonts w:ascii="Cambria Math" w:hAnsi="Cambria Math" w:cs="Times New Roman"/>
                <w:sz w:val="24"/>
                <w:szCs w:val="24"/>
                <w:lang w:val="fr-CI"/>
              </w:rPr>
              <m:t xml:space="preserve"> </m:t>
            </m:r>
          </m:sub>
        </m:sSub>
      </m:oMath>
      <w:r w:rsidRPr="00D00112">
        <w:rPr>
          <w:rFonts w:ascii="Arial Narrow" w:eastAsiaTheme="minorEastAsia" w:hAnsi="Arial Narrow" w:cs="Times New Roman"/>
          <w:sz w:val="24"/>
          <w:szCs w:val="24"/>
          <w:lang w:val="fr-CI"/>
        </w:rPr>
        <w:t xml:space="preserve"> désigne la valeur des exportations de </w:t>
      </w:r>
      <w:r w:rsidR="00677659" w:rsidRPr="00D00112">
        <w:rPr>
          <w:rFonts w:ascii="Arial Narrow" w:eastAsiaTheme="minorEastAsia" w:hAnsi="Arial Narrow" w:cs="Times New Roman"/>
          <w:sz w:val="24"/>
          <w:szCs w:val="24"/>
          <w:lang w:val="fr-CI"/>
        </w:rPr>
        <w:t>l’Algérie vers les pays membres de la CEDEAO</w:t>
      </w:r>
      <w:r w:rsidRPr="00D00112">
        <w:rPr>
          <w:rFonts w:ascii="Arial Narrow" w:eastAsiaTheme="minorEastAsia" w:hAnsi="Arial Narrow" w:cs="Times New Roman"/>
          <w:sz w:val="24"/>
          <w:szCs w:val="24"/>
          <w:lang w:val="fr-CI"/>
        </w:rPr>
        <w:t xml:space="preserve"> à la date </w:t>
      </w:r>
      <m:oMath>
        <m:r>
          <w:rPr>
            <w:rFonts w:ascii="Cambria Math" w:eastAsiaTheme="minorEastAsia" w:hAnsi="Cambria Math" w:cs="Times New Roman"/>
            <w:sz w:val="24"/>
            <w:szCs w:val="24"/>
          </w:rPr>
          <m:t>t</m:t>
        </m:r>
      </m:oMath>
      <w:r w:rsidRPr="00D00112">
        <w:rPr>
          <w:rFonts w:ascii="Arial Narrow" w:eastAsiaTheme="minorEastAsia" w:hAnsi="Arial Narrow" w:cs="Times New Roman"/>
          <w:sz w:val="24"/>
          <w:szCs w:val="24"/>
          <w:lang w:val="fr-CI"/>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PIB</m:t>
            </m:r>
          </m:e>
          <m:sub>
            <m:r>
              <w:rPr>
                <w:rFonts w:ascii="Cambria Math" w:eastAsiaTheme="minorEastAsia" w:hAnsi="Cambria Math" w:cs="Times New Roman"/>
                <w:sz w:val="24"/>
                <w:szCs w:val="24"/>
              </w:rPr>
              <m:t>it</m:t>
            </m:r>
          </m:sub>
        </m:sSub>
      </m:oMath>
      <w:r w:rsidRPr="00D00112">
        <w:rPr>
          <w:rFonts w:ascii="Arial Narrow" w:eastAsiaTheme="minorEastAsia" w:hAnsi="Arial Narrow" w:cs="Times New Roman"/>
          <w:sz w:val="24"/>
          <w:szCs w:val="24"/>
          <w:lang w:val="fr-CI"/>
        </w:rPr>
        <w:t xml:space="preserve"> 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PIB</m:t>
            </m:r>
          </m:e>
          <m:sub>
            <m:r>
              <w:rPr>
                <w:rFonts w:ascii="Cambria Math" w:eastAsiaTheme="minorEastAsia" w:hAnsi="Cambria Math" w:cs="Times New Roman"/>
                <w:sz w:val="24"/>
                <w:szCs w:val="24"/>
              </w:rPr>
              <m:t>jt</m:t>
            </m:r>
          </m:sub>
        </m:sSub>
      </m:oMath>
      <w:r w:rsidRPr="00D00112">
        <w:rPr>
          <w:rFonts w:ascii="Arial Narrow" w:eastAsiaTheme="minorEastAsia" w:hAnsi="Arial Narrow" w:cs="Times New Roman"/>
          <w:sz w:val="24"/>
          <w:szCs w:val="24"/>
          <w:lang w:val="fr-CI"/>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Pr="00D00112">
        <w:rPr>
          <w:rFonts w:ascii="Arial Narrow" w:eastAsiaTheme="minorEastAsia" w:hAnsi="Arial Narrow" w:cs="Times New Roman"/>
          <w:sz w:val="24"/>
          <w:szCs w:val="24"/>
          <w:lang w:val="fr-CI"/>
        </w:rPr>
        <w:t xml:space="preserve"> 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ijt</m:t>
            </m:r>
          </m:sub>
        </m:sSub>
      </m:oMath>
      <w:r w:rsidRPr="00D00112">
        <w:rPr>
          <w:rFonts w:ascii="Arial Narrow" w:eastAsiaTheme="minorEastAsia" w:hAnsi="Arial Narrow" w:cs="Times New Roman"/>
          <w:sz w:val="24"/>
          <w:szCs w:val="24"/>
          <w:lang w:val="fr-CI"/>
        </w:rPr>
        <w:t xml:space="preserve"> représentent respectivement le Produit Intérieur Brut de </w:t>
      </w:r>
      <w:r w:rsidR="005F57D8" w:rsidRPr="00D00112">
        <w:rPr>
          <w:rFonts w:ascii="Arial Narrow" w:eastAsiaTheme="minorEastAsia" w:hAnsi="Arial Narrow" w:cs="Times New Roman"/>
          <w:sz w:val="24"/>
          <w:szCs w:val="24"/>
          <w:lang w:val="fr-CI"/>
        </w:rPr>
        <w:t>l’Algérie</w:t>
      </w:r>
      <w:r w:rsidRPr="00D00112">
        <w:rPr>
          <w:rFonts w:ascii="Arial Narrow" w:eastAsiaTheme="minorEastAsia" w:hAnsi="Arial Narrow" w:cs="Times New Roman"/>
          <w:sz w:val="24"/>
          <w:szCs w:val="24"/>
          <w:lang w:val="fr-CI"/>
        </w:rPr>
        <w:t xml:space="preserve"> et de son partenaire membre de </w:t>
      </w:r>
      <w:r w:rsidR="005F57D8" w:rsidRPr="00D00112">
        <w:rPr>
          <w:rFonts w:ascii="Arial Narrow" w:eastAsiaTheme="minorEastAsia" w:hAnsi="Arial Narrow" w:cs="Times New Roman"/>
          <w:sz w:val="24"/>
          <w:szCs w:val="24"/>
          <w:lang w:val="fr-CI"/>
        </w:rPr>
        <w:t>la CEDEAO en millions de dollars USD</w:t>
      </w:r>
      <w:r w:rsidRPr="00D00112">
        <w:rPr>
          <w:rFonts w:ascii="Arial Narrow" w:eastAsiaTheme="minorEastAsia" w:hAnsi="Arial Narrow" w:cs="Times New Roman"/>
          <w:sz w:val="24"/>
          <w:szCs w:val="24"/>
          <w:lang w:val="fr-CI"/>
        </w:rPr>
        <w:t>, la distance entre les deux pays partenaires</w:t>
      </w:r>
      <w:r w:rsidR="005F57D8" w:rsidRPr="00D00112">
        <w:rPr>
          <w:rFonts w:ascii="Arial Narrow" w:eastAsiaTheme="minorEastAsia" w:hAnsi="Arial Narrow" w:cs="Times New Roman"/>
          <w:sz w:val="24"/>
          <w:szCs w:val="24"/>
          <w:lang w:val="fr-CI"/>
        </w:rPr>
        <w:t xml:space="preserve"> mesurée par la distance entre les deux capitales des pays partenaires</w:t>
      </w:r>
      <w:r w:rsidRPr="00D00112">
        <w:rPr>
          <w:rFonts w:ascii="Arial Narrow" w:eastAsiaTheme="minorEastAsia" w:hAnsi="Arial Narrow" w:cs="Times New Roman"/>
          <w:sz w:val="24"/>
          <w:szCs w:val="24"/>
          <w:lang w:val="fr-CI"/>
        </w:rPr>
        <w:t xml:space="preserve"> et un </w:t>
      </w:r>
      <w:r w:rsidR="00A831F9">
        <w:rPr>
          <w:rFonts w:ascii="Arial Narrow" w:eastAsiaTheme="minorEastAsia" w:hAnsi="Arial Narrow" w:cs="Times New Roman"/>
          <w:sz w:val="24"/>
          <w:szCs w:val="24"/>
          <w:lang w:val="fr-CI"/>
        </w:rPr>
        <w:t>vecteur</w:t>
      </w:r>
      <w:r w:rsidRPr="00D00112">
        <w:rPr>
          <w:rFonts w:ascii="Arial Narrow" w:eastAsiaTheme="minorEastAsia" w:hAnsi="Arial Narrow" w:cs="Times New Roman"/>
          <w:sz w:val="24"/>
          <w:szCs w:val="24"/>
          <w:lang w:val="fr-CI"/>
        </w:rPr>
        <w:t xml:space="preserve"> de variables de contrôle et de variables traditionnelles du modèle de gravité (ces variables sont présentées dans le </w:t>
      </w:r>
      <w:r w:rsidRPr="00D00112">
        <w:rPr>
          <w:rFonts w:ascii="Arial Narrow" w:eastAsiaTheme="minorEastAsia" w:hAnsi="Arial Narrow" w:cs="Times New Roman"/>
          <w:sz w:val="24"/>
          <w:szCs w:val="24"/>
        </w:rPr>
        <w:fldChar w:fldCharType="begin"/>
      </w:r>
      <w:r w:rsidRPr="00D00112">
        <w:rPr>
          <w:rFonts w:ascii="Arial Narrow" w:eastAsiaTheme="minorEastAsia" w:hAnsi="Arial Narrow" w:cs="Times New Roman"/>
          <w:sz w:val="24"/>
          <w:szCs w:val="24"/>
          <w:lang w:val="fr-CI"/>
        </w:rPr>
        <w:instrText xml:space="preserve"> REF _Ref454823877 \h </w:instrText>
      </w:r>
      <w:r w:rsidR="00D00112" w:rsidRPr="00D00112">
        <w:rPr>
          <w:rFonts w:ascii="Arial Narrow" w:eastAsiaTheme="minorEastAsia" w:hAnsi="Arial Narrow" w:cs="Times New Roman"/>
          <w:sz w:val="24"/>
          <w:szCs w:val="24"/>
          <w:lang w:val="fr-CI"/>
        </w:rPr>
        <w:instrText xml:space="preserve"> \* MERGEFORMAT </w:instrText>
      </w:r>
      <w:r w:rsidRPr="00D00112">
        <w:rPr>
          <w:rFonts w:ascii="Arial Narrow" w:eastAsiaTheme="minorEastAsia" w:hAnsi="Arial Narrow" w:cs="Times New Roman"/>
          <w:sz w:val="24"/>
          <w:szCs w:val="24"/>
        </w:rPr>
      </w:r>
      <w:r w:rsidRPr="00D00112">
        <w:rPr>
          <w:rFonts w:ascii="Arial Narrow" w:eastAsiaTheme="minorEastAsia" w:hAnsi="Arial Narrow" w:cs="Times New Roman"/>
          <w:sz w:val="24"/>
          <w:szCs w:val="24"/>
        </w:rPr>
        <w:fldChar w:fldCharType="separate"/>
      </w:r>
      <w:r w:rsidRPr="00D00112">
        <w:rPr>
          <w:rFonts w:ascii="Arial Narrow" w:hAnsi="Arial Narrow" w:cs="Times New Roman"/>
          <w:sz w:val="24"/>
          <w:szCs w:val="24"/>
          <w:lang w:val="fr-CI"/>
        </w:rPr>
        <w:t>Tableau 1</w:t>
      </w:r>
      <w:r w:rsidRPr="00D00112">
        <w:rPr>
          <w:rFonts w:ascii="Arial Narrow" w:eastAsiaTheme="minorEastAsia" w:hAnsi="Arial Narrow" w:cs="Times New Roman"/>
          <w:sz w:val="24"/>
          <w:szCs w:val="24"/>
        </w:rPr>
        <w:fldChar w:fldCharType="end"/>
      </w:r>
      <w:r w:rsidRPr="00D00112">
        <w:rPr>
          <w:rFonts w:ascii="Arial Narrow" w:eastAsiaTheme="minorEastAsia" w:hAnsi="Arial Narrow" w:cs="Times New Roman"/>
          <w:sz w:val="24"/>
          <w:szCs w:val="24"/>
          <w:lang w:val="fr-CI"/>
        </w:rPr>
        <w:t>).</w:t>
      </w:r>
      <w:r w:rsidR="006902DB">
        <w:rPr>
          <w:rFonts w:ascii="Arial Narrow" w:eastAsiaTheme="minorEastAsia" w:hAnsi="Arial Narrow" w:cs="Times New Roman"/>
          <w:sz w:val="24"/>
          <w:szCs w:val="24"/>
          <w:lang w:val="fr-CI"/>
        </w:rPr>
        <w:t xml:space="preserve"> </w:t>
      </w:r>
      <w:r w:rsidR="006902DB" w:rsidRPr="006902DB">
        <w:rPr>
          <w:rFonts w:ascii="Arial Narrow" w:eastAsiaTheme="minorEastAsia" w:hAnsi="Arial Narrow" w:cs="Times New Roman"/>
          <w:sz w:val="24"/>
          <w:szCs w:val="24"/>
          <w:lang w:val="fr-CI"/>
        </w:rPr>
        <w:t>E</w:t>
      </w:r>
      <w:r w:rsidRPr="006902DB">
        <w:rPr>
          <w:rFonts w:ascii="Arial Narrow" w:hAnsi="Arial Narrow" w:cs="Times New Roman"/>
          <w:sz w:val="24"/>
          <w:szCs w:val="24"/>
          <w:lang w:val="fr-CI"/>
        </w:rPr>
        <w:t>n transformant avec la fonction logarithmique, la spécification finale dans sa forme générale s’écrit :</w:t>
      </w:r>
    </w:p>
    <w:p w:rsidR="00457B74" w:rsidRPr="006902DB" w:rsidRDefault="006902DB" w:rsidP="00457B74">
      <w:pPr>
        <w:tabs>
          <w:tab w:val="left" w:pos="983"/>
        </w:tabs>
        <w:spacing w:line="360" w:lineRule="auto"/>
        <w:jc w:val="right"/>
        <w:rPr>
          <w:rFonts w:ascii="Arial Narrow" w:hAnsi="Arial Narrow" w:cs="Times New Roman"/>
          <w:i/>
          <w:sz w:val="24"/>
          <w:szCs w:val="24"/>
        </w:rPr>
      </w:pPr>
      <m:oMath>
        <m:r>
          <w:rPr>
            <w:rFonts w:ascii="Cambria Math" w:eastAsiaTheme="minorEastAsia"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Export</m:t>
            </m:r>
          </m:e>
          <m:sub>
            <m:r>
              <w:rPr>
                <w:rFonts w:ascii="Cambria Math" w:hAnsi="Cambria Math" w:cs="Times New Roman"/>
                <w:sz w:val="24"/>
                <w:szCs w:val="24"/>
              </w:rPr>
              <m:t>ijt</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ijt</m:t>
            </m:r>
          </m:sub>
        </m:sSub>
        <m:r>
          <w:rPr>
            <w:rFonts w:ascii="Cambria Math" w:hAnsi="Cambria Math" w:cs="Times New Roman"/>
            <w:sz w:val="24"/>
            <w:szCs w:val="24"/>
          </w:rPr>
          <m:t>+θln</m:t>
        </m:r>
        <m:sSub>
          <m:sSubPr>
            <m:ctrlPr>
              <w:rPr>
                <w:rFonts w:ascii="Cambria Math" w:hAnsi="Cambria Math" w:cs="Times New Roman"/>
                <w:i/>
                <w:sz w:val="24"/>
                <w:szCs w:val="24"/>
              </w:rPr>
            </m:ctrlPr>
          </m:sSubPr>
          <m:e>
            <m:r>
              <w:rPr>
                <w:rFonts w:ascii="Cambria Math" w:hAnsi="Cambria Math" w:cs="Times New Roman"/>
                <w:sz w:val="24"/>
                <w:szCs w:val="24"/>
              </w:rPr>
              <m:t>PIB</m:t>
            </m:r>
          </m:e>
          <m:sub>
            <m:r>
              <w:rPr>
                <w:rFonts w:ascii="Cambria Math" w:hAnsi="Cambria Math" w:cs="Times New Roman"/>
                <w:sz w:val="24"/>
                <w:szCs w:val="24"/>
              </w:rPr>
              <m:t>it</m:t>
            </m:r>
          </m:sub>
        </m:sSub>
        <m:r>
          <w:rPr>
            <w:rFonts w:ascii="Cambria Math" w:hAnsi="Cambria Math" w:cs="Times New Roman"/>
            <w:sz w:val="24"/>
            <w:szCs w:val="24"/>
          </w:rPr>
          <m:t>+ϑln</m:t>
        </m:r>
        <m:sSub>
          <m:sSubPr>
            <m:ctrlPr>
              <w:rPr>
                <w:rFonts w:ascii="Cambria Math" w:hAnsi="Cambria Math" w:cs="Times New Roman"/>
                <w:i/>
                <w:sz w:val="24"/>
                <w:szCs w:val="24"/>
              </w:rPr>
            </m:ctrlPr>
          </m:sSubPr>
          <m:e>
            <m:r>
              <w:rPr>
                <w:rFonts w:ascii="Cambria Math" w:hAnsi="Cambria Math" w:cs="Times New Roman"/>
                <w:sz w:val="24"/>
                <w:szCs w:val="24"/>
              </w:rPr>
              <m:t>PIB</m:t>
            </m:r>
          </m:e>
          <m:sub>
            <m:r>
              <w:rPr>
                <w:rFonts w:ascii="Cambria Math" w:hAnsi="Cambria Math" w:cs="Times New Roman"/>
                <w:sz w:val="24"/>
                <w:szCs w:val="24"/>
              </w:rPr>
              <m:t>jt</m:t>
            </m:r>
          </m:sub>
        </m:sSub>
        <m:r>
          <w:rPr>
            <w:rFonts w:ascii="Cambria Math" w:hAnsi="Cambria Math" w:cs="Times New Roman"/>
            <w:sz w:val="24"/>
            <w:szCs w:val="24"/>
          </w:rPr>
          <m:t>-μln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ijt</m:t>
            </m:r>
          </m:sub>
        </m:sSub>
        <m:r>
          <w:rPr>
            <w:rFonts w:ascii="Cambria Math" w:hAnsi="Cambria Math" w:cs="Times New Roman"/>
            <w:sz w:val="24"/>
            <w:szCs w:val="24"/>
          </w:rPr>
          <m:t xml:space="preserve"> </m:t>
        </m:r>
      </m:oMath>
      <w:r w:rsidR="00457B74" w:rsidRPr="006902DB">
        <w:rPr>
          <w:rFonts w:ascii="Arial Narrow" w:hAnsi="Arial Narrow" w:cs="Times New Roman"/>
          <w:i/>
          <w:sz w:val="24"/>
          <w:szCs w:val="24"/>
        </w:rPr>
        <w:tab/>
      </w:r>
      <w:r w:rsidR="00457B74" w:rsidRPr="006902DB">
        <w:rPr>
          <w:rFonts w:ascii="Arial Narrow" w:hAnsi="Arial Narrow" w:cs="Times New Roman"/>
          <w:i/>
          <w:sz w:val="24"/>
          <w:szCs w:val="24"/>
        </w:rPr>
        <w:tab/>
        <w:t xml:space="preserve">Equation </w:t>
      </w:r>
      <w:r w:rsidR="00457B74" w:rsidRPr="006902DB">
        <w:rPr>
          <w:rFonts w:ascii="Arial Narrow" w:hAnsi="Arial Narrow" w:cs="Times New Roman"/>
          <w:i/>
          <w:sz w:val="24"/>
          <w:szCs w:val="24"/>
        </w:rPr>
        <w:fldChar w:fldCharType="begin"/>
      </w:r>
      <w:r w:rsidR="00457B74" w:rsidRPr="006902DB">
        <w:rPr>
          <w:rFonts w:ascii="Arial Narrow" w:hAnsi="Arial Narrow" w:cs="Times New Roman"/>
          <w:i/>
          <w:sz w:val="24"/>
          <w:szCs w:val="24"/>
        </w:rPr>
        <w:instrText xml:space="preserve"> SEQ Équation \* ARABIC </w:instrText>
      </w:r>
      <w:r w:rsidR="00457B74" w:rsidRPr="006902DB">
        <w:rPr>
          <w:rFonts w:ascii="Arial Narrow" w:hAnsi="Arial Narrow" w:cs="Times New Roman"/>
          <w:i/>
          <w:sz w:val="24"/>
          <w:szCs w:val="24"/>
        </w:rPr>
        <w:fldChar w:fldCharType="separate"/>
      </w:r>
      <w:r>
        <w:rPr>
          <w:rFonts w:ascii="Arial Narrow" w:hAnsi="Arial Narrow" w:cs="Times New Roman"/>
          <w:i/>
          <w:noProof/>
          <w:sz w:val="24"/>
          <w:szCs w:val="24"/>
        </w:rPr>
        <w:t>2</w:t>
      </w:r>
      <w:r w:rsidR="00457B74" w:rsidRPr="006902DB">
        <w:rPr>
          <w:rFonts w:ascii="Arial Narrow" w:hAnsi="Arial Narrow" w:cs="Times New Roman"/>
          <w:i/>
          <w:sz w:val="24"/>
          <w:szCs w:val="24"/>
        </w:rPr>
        <w:fldChar w:fldCharType="end"/>
      </w:r>
    </w:p>
    <w:p w:rsidR="006902DB" w:rsidRDefault="00457B74" w:rsidP="00457B74">
      <w:pPr>
        <w:spacing w:line="360" w:lineRule="auto"/>
        <w:jc w:val="both"/>
        <w:rPr>
          <w:rFonts w:ascii="Arial Narrow" w:eastAsiaTheme="minorEastAsia" w:hAnsi="Arial Narrow" w:cs="Times New Roman"/>
          <w:sz w:val="24"/>
          <w:szCs w:val="24"/>
          <w:lang w:val="fr-CI"/>
        </w:rPr>
      </w:pPr>
      <w:r w:rsidRPr="006902DB">
        <w:rPr>
          <w:rFonts w:ascii="Arial Narrow" w:hAnsi="Arial Narrow" w:cs="Times New Roman"/>
          <w:sz w:val="24"/>
          <w:szCs w:val="24"/>
          <w:lang w:val="fr-CI"/>
        </w:rPr>
        <w:lastRenderedPageBreak/>
        <w:t xml:space="preserve">Avec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lang w:val="fr-CI"/>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fr-CI"/>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lang w:val="fr-CI"/>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lang w:val="fr-CI"/>
          </w:rPr>
          <m:t xml:space="preserve"> </m:t>
        </m:r>
      </m:oMath>
      <w:r w:rsidRPr="006902DB">
        <w:rPr>
          <w:rFonts w:ascii="Arial Narrow" w:eastAsiaTheme="minorEastAsia" w:hAnsi="Arial Narrow" w:cs="Times New Roman"/>
          <w:sz w:val="24"/>
          <w:szCs w:val="24"/>
          <w:lang w:val="fr-CI"/>
        </w:rPr>
        <w:t xml:space="preserve">, où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oMath>
      <w:r w:rsidRPr="006902DB">
        <w:rPr>
          <w:rFonts w:ascii="Arial Narrow" w:eastAsiaTheme="minorEastAsia" w:hAnsi="Arial Narrow" w:cs="Times New Roman"/>
          <w:sz w:val="24"/>
          <w:szCs w:val="24"/>
          <w:lang w:val="fr-CI"/>
        </w:rPr>
        <w:t xml:space="preserve"> represente le terme d’erreur due à chaque paires de pays et qui ne dépend pas du temps,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r w:rsidRPr="006902DB">
        <w:rPr>
          <w:rFonts w:ascii="Arial Narrow" w:eastAsiaTheme="minorEastAsia" w:hAnsi="Arial Narrow" w:cs="Times New Roman"/>
          <w:sz w:val="24"/>
          <w:szCs w:val="24"/>
          <w:lang w:val="fr-CI"/>
        </w:rPr>
        <w:t xml:space="preserve"> le terme d’erreur due au temps et qui ne dépend pas des paires de pays 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ijt</m:t>
            </m:r>
          </m:sub>
        </m:sSub>
      </m:oMath>
      <w:r w:rsidRPr="006902DB">
        <w:rPr>
          <w:rFonts w:ascii="Arial Narrow" w:eastAsiaTheme="minorEastAsia" w:hAnsi="Arial Narrow" w:cs="Times New Roman"/>
          <w:sz w:val="24"/>
          <w:szCs w:val="24"/>
          <w:lang w:val="fr-CI"/>
        </w:rPr>
        <w:t xml:space="preserve"> le terme de l’erreur qui tient compte de la variation du temps et de chaque paire de pays à la fois. </w:t>
      </w:r>
    </w:p>
    <w:p w:rsidR="008A1B8E" w:rsidRDefault="000C6E10" w:rsidP="008A1B8E">
      <w:pPr>
        <w:spacing w:line="360" w:lineRule="auto"/>
        <w:jc w:val="both"/>
        <w:rPr>
          <w:rFonts w:ascii="Arial Narrow" w:eastAsiaTheme="minorEastAsia" w:hAnsi="Arial Narrow" w:cs="Times New Roman"/>
          <w:sz w:val="24"/>
          <w:szCs w:val="24"/>
          <w:lang w:val="fr-CI"/>
        </w:rPr>
      </w:pPr>
      <w:r w:rsidRPr="008A1B8E">
        <w:rPr>
          <w:rFonts w:ascii="Arial Narrow" w:eastAsiaTheme="minorEastAsia" w:hAnsi="Arial Narrow" w:cs="Times New Roman"/>
          <w:sz w:val="24"/>
          <w:szCs w:val="24"/>
          <w:lang w:val="fr-CI"/>
        </w:rPr>
        <w:t xml:space="preserve">Dans une première </w:t>
      </w:r>
      <w:r w:rsidR="008A1B8E">
        <w:rPr>
          <w:rFonts w:ascii="Arial Narrow" w:eastAsiaTheme="minorEastAsia" w:hAnsi="Arial Narrow" w:cs="Times New Roman"/>
          <w:sz w:val="24"/>
          <w:szCs w:val="24"/>
          <w:lang w:val="fr-CI"/>
        </w:rPr>
        <w:t>étape</w:t>
      </w:r>
      <w:r w:rsidRPr="008A1B8E">
        <w:rPr>
          <w:rFonts w:ascii="Arial Narrow" w:eastAsiaTheme="minorEastAsia" w:hAnsi="Arial Narrow" w:cs="Times New Roman"/>
          <w:sz w:val="24"/>
          <w:szCs w:val="24"/>
          <w:lang w:val="fr-CI"/>
        </w:rPr>
        <w:t xml:space="preserve">, nous estimons </w:t>
      </w:r>
      <w:r w:rsidR="008A1B8E">
        <w:rPr>
          <w:rFonts w:ascii="Arial Narrow" w:eastAsiaTheme="minorEastAsia" w:hAnsi="Arial Narrow" w:cs="Times New Roman"/>
          <w:sz w:val="24"/>
          <w:szCs w:val="24"/>
          <w:lang w:val="fr-CI"/>
        </w:rPr>
        <w:t>l’équation (2)</w:t>
      </w:r>
      <w:r w:rsidRPr="008A1B8E">
        <w:rPr>
          <w:rFonts w:ascii="Arial Narrow" w:eastAsiaTheme="minorEastAsia" w:hAnsi="Arial Narrow" w:cs="Times New Roman"/>
          <w:sz w:val="24"/>
          <w:szCs w:val="24"/>
          <w:lang w:val="fr-CI"/>
        </w:rPr>
        <w:t xml:space="preserve"> par la méthode des moindres carrés ordinaires sur les données groupées (</w:t>
      </w:r>
      <w:proofErr w:type="spellStart"/>
      <w:r w:rsidRPr="008A1B8E">
        <w:rPr>
          <w:rFonts w:ascii="Arial Narrow" w:eastAsiaTheme="minorEastAsia" w:hAnsi="Arial Narrow" w:cs="Times New Roman"/>
          <w:sz w:val="24"/>
          <w:szCs w:val="24"/>
          <w:lang w:val="fr-CI"/>
        </w:rPr>
        <w:t>pooled</w:t>
      </w:r>
      <w:proofErr w:type="spellEnd"/>
      <w:r w:rsidRPr="008A1B8E">
        <w:rPr>
          <w:rFonts w:ascii="Arial Narrow" w:eastAsiaTheme="minorEastAsia" w:hAnsi="Arial Narrow" w:cs="Times New Roman"/>
          <w:sz w:val="24"/>
          <w:szCs w:val="24"/>
          <w:lang w:val="fr-CI"/>
        </w:rPr>
        <w:t xml:space="preserve"> data), sans tenir compte de la dimension temporelle. Cette première approche nous permet de</w:t>
      </w:r>
      <w:r w:rsidR="008A1B8E">
        <w:rPr>
          <w:rFonts w:ascii="Arial Narrow" w:eastAsiaTheme="minorEastAsia" w:hAnsi="Arial Narrow" w:cs="Times New Roman"/>
          <w:sz w:val="24"/>
          <w:szCs w:val="24"/>
          <w:lang w:val="fr-CI"/>
        </w:rPr>
        <w:t xml:space="preserve"> </w:t>
      </w:r>
      <w:r w:rsidR="008A1B8E" w:rsidRPr="008A1B8E">
        <w:rPr>
          <w:rFonts w:ascii="Arial Narrow" w:eastAsiaTheme="minorEastAsia" w:hAnsi="Arial Narrow" w:cs="Times New Roman"/>
          <w:sz w:val="24"/>
          <w:szCs w:val="24"/>
          <w:lang w:val="fr-CI"/>
        </w:rPr>
        <w:t xml:space="preserve">vérifier la conformité des signes des coefficients au regard des </w:t>
      </w:r>
      <w:r w:rsidR="008A1B8E">
        <w:rPr>
          <w:rFonts w:ascii="Arial Narrow" w:eastAsiaTheme="minorEastAsia" w:hAnsi="Arial Narrow" w:cs="Times New Roman"/>
          <w:sz w:val="24"/>
          <w:szCs w:val="24"/>
          <w:lang w:val="fr-CI"/>
        </w:rPr>
        <w:t>signes attendus</w:t>
      </w:r>
      <w:r w:rsidR="008A1B8E" w:rsidRPr="008A1B8E">
        <w:rPr>
          <w:rFonts w:ascii="Arial Narrow" w:eastAsiaTheme="minorEastAsia" w:hAnsi="Arial Narrow" w:cs="Times New Roman"/>
          <w:sz w:val="24"/>
          <w:szCs w:val="24"/>
          <w:lang w:val="fr-CI"/>
        </w:rPr>
        <w:t xml:space="preserve">. </w:t>
      </w:r>
    </w:p>
    <w:p w:rsidR="008A1B8E" w:rsidRPr="008A1B8E" w:rsidRDefault="008A1B8E" w:rsidP="008A1B8E">
      <w:pPr>
        <w:spacing w:line="360" w:lineRule="auto"/>
        <w:jc w:val="both"/>
        <w:rPr>
          <w:rFonts w:ascii="Arial Narrow" w:eastAsiaTheme="minorEastAsia" w:hAnsi="Arial Narrow" w:cs="Times New Roman"/>
          <w:sz w:val="24"/>
          <w:szCs w:val="24"/>
          <w:lang w:val="fr-CI"/>
        </w:rPr>
      </w:pPr>
      <w:r w:rsidRPr="008A1B8E">
        <w:rPr>
          <w:rFonts w:ascii="Arial Narrow" w:eastAsiaTheme="minorEastAsia" w:hAnsi="Arial Narrow" w:cs="Times New Roman"/>
          <w:sz w:val="24"/>
          <w:szCs w:val="24"/>
          <w:lang w:val="fr-CI"/>
        </w:rPr>
        <w:t xml:space="preserve">Nous utilisons ensuite l’estimateur des effets fixes « </w:t>
      </w:r>
      <w:proofErr w:type="spellStart"/>
      <w:r w:rsidRPr="008A1B8E">
        <w:rPr>
          <w:rFonts w:ascii="Arial Narrow" w:eastAsiaTheme="minorEastAsia" w:hAnsi="Arial Narrow" w:cs="Times New Roman"/>
          <w:sz w:val="24"/>
          <w:szCs w:val="24"/>
          <w:lang w:val="fr-CI"/>
        </w:rPr>
        <w:t>within</w:t>
      </w:r>
      <w:proofErr w:type="spellEnd"/>
      <w:r w:rsidRPr="008A1B8E">
        <w:rPr>
          <w:rFonts w:ascii="Arial Narrow" w:eastAsiaTheme="minorEastAsia" w:hAnsi="Arial Narrow" w:cs="Times New Roman"/>
          <w:sz w:val="24"/>
          <w:szCs w:val="24"/>
          <w:lang w:val="fr-CI"/>
        </w:rPr>
        <w:t xml:space="preserve"> » qui fixe les effets individuels et effectue alors une régression sur les moyennes individuelles, de sorte à obtenir une plus grande précision dans l’estimation. Cet estimateur ne permet pas d’estimer les variables invariantes dans le temps. Nous faisons donc la régression avec l’estimateur des effets aléatoires « </w:t>
      </w:r>
      <w:proofErr w:type="spellStart"/>
      <w:r w:rsidRPr="008A1B8E">
        <w:rPr>
          <w:rFonts w:ascii="Arial Narrow" w:eastAsiaTheme="minorEastAsia" w:hAnsi="Arial Narrow" w:cs="Times New Roman"/>
          <w:sz w:val="24"/>
          <w:szCs w:val="24"/>
          <w:lang w:val="fr-CI"/>
        </w:rPr>
        <w:t>between</w:t>
      </w:r>
      <w:proofErr w:type="spellEnd"/>
      <w:r w:rsidRPr="008A1B8E">
        <w:rPr>
          <w:rFonts w:ascii="Arial Narrow" w:eastAsiaTheme="minorEastAsia" w:hAnsi="Arial Narrow" w:cs="Times New Roman"/>
          <w:sz w:val="24"/>
          <w:szCs w:val="24"/>
          <w:lang w:val="fr-CI"/>
        </w:rPr>
        <w:t xml:space="preserve"> » qui utilise les moindres carrés généralisés pour palier à cette insuffisance. Nous procédons aux différents tests statistiques tels que celui de Hausman pour vérifier la pertinence du choix entre le modèle à effets fixes et le modèle à effets aléatoires, le test de </w:t>
      </w:r>
      <w:proofErr w:type="spellStart"/>
      <w:r w:rsidRPr="008A1B8E">
        <w:rPr>
          <w:rFonts w:ascii="Arial Narrow" w:eastAsiaTheme="minorEastAsia" w:hAnsi="Arial Narrow" w:cs="Times New Roman"/>
          <w:sz w:val="24"/>
          <w:szCs w:val="24"/>
          <w:lang w:val="fr-CI"/>
        </w:rPr>
        <w:t>B</w:t>
      </w:r>
      <w:r>
        <w:rPr>
          <w:rFonts w:ascii="Arial Narrow" w:eastAsiaTheme="minorEastAsia" w:hAnsi="Arial Narrow" w:cs="Times New Roman"/>
          <w:sz w:val="24"/>
          <w:szCs w:val="24"/>
          <w:lang w:val="fr-CI"/>
        </w:rPr>
        <w:t>reusch</w:t>
      </w:r>
      <w:proofErr w:type="spellEnd"/>
      <w:r>
        <w:rPr>
          <w:rFonts w:ascii="Arial Narrow" w:eastAsiaTheme="minorEastAsia" w:hAnsi="Arial Narrow" w:cs="Times New Roman"/>
          <w:sz w:val="24"/>
          <w:szCs w:val="24"/>
          <w:lang w:val="fr-CI"/>
        </w:rPr>
        <w:t xml:space="preserve">-Pagan pour </w:t>
      </w:r>
      <w:r w:rsidRPr="008A1B8E">
        <w:rPr>
          <w:rFonts w:ascii="Arial Narrow" w:eastAsiaTheme="minorEastAsia" w:hAnsi="Arial Narrow" w:cs="Times New Roman"/>
          <w:sz w:val="24"/>
          <w:szCs w:val="24"/>
          <w:lang w:val="fr-CI"/>
        </w:rPr>
        <w:t>l’</w:t>
      </w:r>
      <w:proofErr w:type="spellStart"/>
      <w:r w:rsidRPr="008A1B8E">
        <w:rPr>
          <w:rFonts w:ascii="Arial Narrow" w:eastAsiaTheme="minorEastAsia" w:hAnsi="Arial Narrow" w:cs="Times New Roman"/>
          <w:sz w:val="24"/>
          <w:szCs w:val="24"/>
          <w:lang w:val="fr-CI"/>
        </w:rPr>
        <w:t>hétéroscédasticité</w:t>
      </w:r>
      <w:proofErr w:type="spellEnd"/>
      <w:r w:rsidRPr="008A1B8E">
        <w:rPr>
          <w:rFonts w:ascii="Arial Narrow" w:eastAsiaTheme="minorEastAsia" w:hAnsi="Arial Narrow" w:cs="Times New Roman"/>
          <w:sz w:val="24"/>
          <w:szCs w:val="24"/>
          <w:lang w:val="fr-CI"/>
        </w:rPr>
        <w:t xml:space="preserve"> et le modèle Hausman-Taylor pour la détection éventuelle d’</w:t>
      </w:r>
      <w:proofErr w:type="spellStart"/>
      <w:r w:rsidRPr="008A1B8E">
        <w:rPr>
          <w:rFonts w:ascii="Arial Narrow" w:eastAsiaTheme="minorEastAsia" w:hAnsi="Arial Narrow" w:cs="Times New Roman"/>
          <w:sz w:val="24"/>
          <w:szCs w:val="24"/>
          <w:lang w:val="fr-CI"/>
        </w:rPr>
        <w:t>endogénéïté</w:t>
      </w:r>
      <w:proofErr w:type="spellEnd"/>
      <w:r w:rsidRPr="008A1B8E">
        <w:rPr>
          <w:rFonts w:ascii="Arial Narrow" w:eastAsiaTheme="minorEastAsia" w:hAnsi="Arial Narrow" w:cs="Times New Roman"/>
          <w:sz w:val="24"/>
          <w:szCs w:val="24"/>
          <w:lang w:val="fr-CI"/>
        </w:rPr>
        <w:t>.</w:t>
      </w:r>
    </w:p>
    <w:p w:rsidR="00764142" w:rsidRPr="00E36271" w:rsidRDefault="00764142" w:rsidP="00E36271">
      <w:pPr>
        <w:pStyle w:val="Titre2"/>
        <w:numPr>
          <w:ilvl w:val="1"/>
          <w:numId w:val="1"/>
        </w:numPr>
        <w:rPr>
          <w:rFonts w:ascii="Arial Narrow" w:hAnsi="Arial Narrow" w:cs="Times New Roman"/>
          <w:color w:val="auto"/>
          <w:sz w:val="24"/>
          <w:szCs w:val="24"/>
        </w:rPr>
      </w:pPr>
      <w:bookmarkStart w:id="0" w:name="_GoBack"/>
      <w:bookmarkEnd w:id="0"/>
      <w:r w:rsidRPr="00E36271">
        <w:rPr>
          <w:rFonts w:ascii="Arial Narrow" w:hAnsi="Arial Narrow" w:cs="Times New Roman"/>
          <w:color w:val="auto"/>
          <w:sz w:val="24"/>
          <w:szCs w:val="24"/>
        </w:rPr>
        <w:t>Données</w:t>
      </w:r>
    </w:p>
    <w:p w:rsidR="00764142" w:rsidRDefault="00764142" w:rsidP="00764142">
      <w:pPr>
        <w:rPr>
          <w:rFonts w:ascii="Times New Roman" w:hAnsi="Times New Roman" w:cs="Times New Roman"/>
          <w:sz w:val="24"/>
          <w:szCs w:val="24"/>
        </w:rPr>
      </w:pPr>
    </w:p>
    <w:p w:rsidR="00764142" w:rsidRPr="001C0391" w:rsidRDefault="00764142" w:rsidP="00764142">
      <w:pPr>
        <w:spacing w:line="360" w:lineRule="auto"/>
        <w:jc w:val="both"/>
        <w:rPr>
          <w:rFonts w:ascii="Arial Narrow" w:hAnsi="Arial Narrow" w:cs="Times New Roman"/>
          <w:sz w:val="24"/>
          <w:szCs w:val="24"/>
          <w:lang w:val="fr-CI"/>
        </w:rPr>
      </w:pPr>
      <w:r w:rsidRPr="001C0391">
        <w:rPr>
          <w:rFonts w:ascii="Arial Narrow" w:hAnsi="Arial Narrow" w:cs="Times New Roman"/>
          <w:sz w:val="24"/>
          <w:szCs w:val="24"/>
          <w:lang w:val="fr-CI"/>
        </w:rPr>
        <w:t xml:space="preserve">Les données utilisées dans cette analyse sont des données annuelles. Elles couvrent la période 1996 à 2016 pour l’ensemble des pays membres de la CEDEAO. Le tableau présente chaque variable et la source ainsi que les unités de mesure. </w:t>
      </w:r>
    </w:p>
    <w:p w:rsidR="00764142" w:rsidRPr="001C0391" w:rsidRDefault="00764142" w:rsidP="00764142">
      <w:pPr>
        <w:spacing w:line="360" w:lineRule="auto"/>
        <w:jc w:val="both"/>
        <w:rPr>
          <w:rFonts w:ascii="Arial Narrow" w:hAnsi="Arial Narrow" w:cs="Times New Roman"/>
          <w:sz w:val="24"/>
          <w:szCs w:val="24"/>
          <w:lang w:val="fr-CI"/>
        </w:rPr>
      </w:pPr>
      <w:r w:rsidRPr="001C0391">
        <w:rPr>
          <w:rFonts w:ascii="Arial Narrow" w:hAnsi="Arial Narrow" w:cs="Times New Roman"/>
          <w:sz w:val="24"/>
          <w:szCs w:val="24"/>
          <w:lang w:val="fr-CI"/>
        </w:rPr>
        <w:t xml:space="preserve">Les flux net entrant d’Investissement Directs Etrangers (IDE) sont traités comme un proxy de la confiance des investisseurs dans l’économie. Ils rendent compte aussi de la bonne gestion de la politique économique qui augure de bonnes perspectives de croissance et de développement </w:t>
      </w:r>
      <w:sdt>
        <w:sdtPr>
          <w:rPr>
            <w:rFonts w:ascii="Arial Narrow" w:hAnsi="Arial Narrow" w:cs="Times New Roman"/>
            <w:sz w:val="24"/>
            <w:szCs w:val="24"/>
          </w:rPr>
          <w:id w:val="471713701"/>
          <w:citation/>
        </w:sdtPr>
        <w:sdtEndPr/>
        <w:sdtContent>
          <w:r w:rsidRPr="001C0391">
            <w:rPr>
              <w:rFonts w:ascii="Arial Narrow" w:hAnsi="Arial Narrow" w:cs="Times New Roman"/>
              <w:sz w:val="24"/>
              <w:szCs w:val="24"/>
            </w:rPr>
            <w:fldChar w:fldCharType="begin"/>
          </w:r>
          <w:r w:rsidRPr="001C0391">
            <w:rPr>
              <w:rFonts w:ascii="Arial Narrow" w:hAnsi="Arial Narrow" w:cs="Times New Roman"/>
              <w:sz w:val="24"/>
              <w:szCs w:val="24"/>
              <w:lang w:val="fr-CI"/>
            </w:rPr>
            <w:instrText xml:space="preserve"> CITATION Rob01 \l 12300 </w:instrText>
          </w:r>
          <w:r w:rsidRPr="001C0391">
            <w:rPr>
              <w:rFonts w:ascii="Arial Narrow" w:hAnsi="Arial Narrow" w:cs="Times New Roman"/>
              <w:sz w:val="24"/>
              <w:szCs w:val="24"/>
            </w:rPr>
            <w:fldChar w:fldCharType="separate"/>
          </w:r>
          <w:r w:rsidRPr="001C0391">
            <w:rPr>
              <w:rFonts w:ascii="Arial Narrow" w:hAnsi="Arial Narrow" w:cs="Times New Roman"/>
              <w:noProof/>
              <w:sz w:val="24"/>
              <w:szCs w:val="24"/>
              <w:lang w:val="fr-CI"/>
            </w:rPr>
            <w:t>(Longo &amp; Sekkat, 2004)</w:t>
          </w:r>
          <w:r w:rsidRPr="001C0391">
            <w:rPr>
              <w:rFonts w:ascii="Arial Narrow" w:hAnsi="Arial Narrow" w:cs="Times New Roman"/>
              <w:sz w:val="24"/>
              <w:szCs w:val="24"/>
            </w:rPr>
            <w:fldChar w:fldCharType="end"/>
          </w:r>
        </w:sdtContent>
      </w:sdt>
      <w:r w:rsidRPr="001C0391">
        <w:rPr>
          <w:rFonts w:ascii="Arial Narrow" w:hAnsi="Arial Narrow" w:cs="Times New Roman"/>
          <w:sz w:val="24"/>
          <w:szCs w:val="24"/>
          <w:lang w:val="fr-CI"/>
        </w:rPr>
        <w:t xml:space="preserve">. De ce fait l’on suppose que si une économie est très attractive, cela dénote </w:t>
      </w:r>
      <w:r w:rsidR="00A81F0C">
        <w:rPr>
          <w:rFonts w:ascii="Arial Narrow" w:hAnsi="Arial Narrow" w:cs="Times New Roman"/>
          <w:sz w:val="24"/>
          <w:szCs w:val="24"/>
          <w:lang w:val="fr-CI"/>
        </w:rPr>
        <w:t xml:space="preserve">aussi </w:t>
      </w:r>
      <w:r w:rsidRPr="001C0391">
        <w:rPr>
          <w:rFonts w:ascii="Arial Narrow" w:hAnsi="Arial Narrow" w:cs="Times New Roman"/>
          <w:sz w:val="24"/>
          <w:szCs w:val="24"/>
          <w:lang w:val="fr-CI"/>
        </w:rPr>
        <w:t>d’une bonne gestion de la politique économique.</w:t>
      </w:r>
    </w:p>
    <w:p w:rsidR="00764142" w:rsidRPr="001C0391" w:rsidRDefault="00764142" w:rsidP="00764142">
      <w:pPr>
        <w:pStyle w:val="Lgende"/>
        <w:rPr>
          <w:rFonts w:ascii="Arial Narrow" w:hAnsi="Arial Narrow" w:cs="Times New Roman"/>
          <w:i w:val="0"/>
          <w:iCs w:val="0"/>
          <w:color w:val="auto"/>
          <w:sz w:val="24"/>
          <w:szCs w:val="24"/>
        </w:rPr>
      </w:pPr>
      <w:bookmarkStart w:id="1" w:name="_Ref454823877"/>
      <w:r w:rsidRPr="001C0391">
        <w:rPr>
          <w:rFonts w:ascii="Arial Narrow" w:hAnsi="Arial Narrow" w:cs="Times New Roman"/>
          <w:i w:val="0"/>
          <w:iCs w:val="0"/>
          <w:color w:val="auto"/>
          <w:sz w:val="24"/>
          <w:szCs w:val="24"/>
        </w:rPr>
        <w:t xml:space="preserve">Tableau </w:t>
      </w:r>
      <w:r w:rsidRPr="001C0391">
        <w:rPr>
          <w:rFonts w:ascii="Arial Narrow" w:hAnsi="Arial Narrow" w:cs="Times New Roman"/>
          <w:i w:val="0"/>
          <w:iCs w:val="0"/>
          <w:color w:val="auto"/>
          <w:sz w:val="24"/>
          <w:szCs w:val="24"/>
        </w:rPr>
        <w:fldChar w:fldCharType="begin"/>
      </w:r>
      <w:r w:rsidRPr="001C0391">
        <w:rPr>
          <w:rFonts w:ascii="Arial Narrow" w:hAnsi="Arial Narrow" w:cs="Times New Roman"/>
          <w:i w:val="0"/>
          <w:iCs w:val="0"/>
          <w:color w:val="auto"/>
          <w:sz w:val="24"/>
          <w:szCs w:val="24"/>
        </w:rPr>
        <w:instrText xml:space="preserve"> SEQ Tableau \* ARABIC </w:instrText>
      </w:r>
      <w:r w:rsidRPr="001C0391">
        <w:rPr>
          <w:rFonts w:ascii="Arial Narrow" w:hAnsi="Arial Narrow" w:cs="Times New Roman"/>
          <w:i w:val="0"/>
          <w:iCs w:val="0"/>
          <w:color w:val="auto"/>
          <w:sz w:val="24"/>
          <w:szCs w:val="24"/>
        </w:rPr>
        <w:fldChar w:fldCharType="separate"/>
      </w:r>
      <w:r w:rsidRPr="001C0391">
        <w:rPr>
          <w:rFonts w:ascii="Arial Narrow" w:hAnsi="Arial Narrow" w:cs="Times New Roman"/>
          <w:i w:val="0"/>
          <w:iCs w:val="0"/>
          <w:noProof/>
          <w:color w:val="auto"/>
          <w:sz w:val="24"/>
          <w:szCs w:val="24"/>
        </w:rPr>
        <w:t>1</w:t>
      </w:r>
      <w:r w:rsidRPr="001C0391">
        <w:rPr>
          <w:rFonts w:ascii="Arial Narrow" w:hAnsi="Arial Narrow" w:cs="Times New Roman"/>
          <w:i w:val="0"/>
          <w:iCs w:val="0"/>
          <w:color w:val="auto"/>
          <w:sz w:val="24"/>
          <w:szCs w:val="24"/>
        </w:rPr>
        <w:fldChar w:fldCharType="end"/>
      </w:r>
      <w:bookmarkEnd w:id="1"/>
      <w:r w:rsidRPr="001C0391">
        <w:rPr>
          <w:rFonts w:ascii="Arial Narrow" w:hAnsi="Arial Narrow" w:cs="Times New Roman"/>
          <w:i w:val="0"/>
          <w:iCs w:val="0"/>
          <w:color w:val="auto"/>
          <w:sz w:val="24"/>
          <w:szCs w:val="24"/>
        </w:rPr>
        <w:t>: Description des données et des variables de l'étude</w:t>
      </w:r>
    </w:p>
    <w:tbl>
      <w:tblPr>
        <w:tblStyle w:val="Tableausimple2"/>
        <w:tblW w:w="0" w:type="auto"/>
        <w:tblLook w:val="04A0" w:firstRow="1" w:lastRow="0" w:firstColumn="1" w:lastColumn="0" w:noHBand="0" w:noVBand="1"/>
      </w:tblPr>
      <w:tblGrid>
        <w:gridCol w:w="2758"/>
        <w:gridCol w:w="1540"/>
        <w:gridCol w:w="5108"/>
      </w:tblGrid>
      <w:tr w:rsidR="00A404A1" w:rsidRPr="009E29AF" w:rsidTr="009E2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Variables</w:t>
            </w:r>
          </w:p>
        </w:tc>
        <w:tc>
          <w:tcPr>
            <w:tcW w:w="0" w:type="auto"/>
            <w:vAlign w:val="center"/>
          </w:tcPr>
          <w:p w:rsidR="00764142" w:rsidRPr="009E29AF" w:rsidRDefault="00764142" w:rsidP="009E29AF">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b w:val="0"/>
                <w:sz w:val="20"/>
                <w:szCs w:val="20"/>
              </w:rPr>
            </w:pPr>
            <w:r w:rsidRPr="009E29AF">
              <w:rPr>
                <w:rFonts w:ascii="Arial Narrow" w:hAnsi="Arial Narrow" w:cs="Times New Roman"/>
                <w:b w:val="0"/>
                <w:sz w:val="20"/>
                <w:szCs w:val="20"/>
              </w:rPr>
              <w:t>Sources</w:t>
            </w:r>
          </w:p>
        </w:tc>
        <w:tc>
          <w:tcPr>
            <w:tcW w:w="0" w:type="auto"/>
          </w:tcPr>
          <w:p w:rsidR="00764142" w:rsidRPr="009E29AF" w:rsidRDefault="00764142" w:rsidP="009E29AF">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b w:val="0"/>
                <w:sz w:val="20"/>
                <w:szCs w:val="20"/>
              </w:rPr>
            </w:pPr>
            <w:r w:rsidRPr="009E29AF">
              <w:rPr>
                <w:rFonts w:ascii="Arial Narrow" w:hAnsi="Arial Narrow" w:cs="Times New Roman"/>
                <w:b w:val="0"/>
                <w:sz w:val="20"/>
                <w:szCs w:val="20"/>
              </w:rPr>
              <w:t>Unités de mesure</w:t>
            </w:r>
          </w:p>
        </w:tc>
      </w:tr>
      <w:tr w:rsidR="00A404A1" w:rsidRPr="009E29AF" w:rsidTr="009E2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Ex</w:t>
            </w:r>
            <w:r w:rsidR="009E29AF" w:rsidRPr="009E29AF">
              <w:rPr>
                <w:rFonts w:ascii="Arial Narrow" w:hAnsi="Arial Narrow" w:cs="Times New Roman"/>
                <w:b w:val="0"/>
                <w:sz w:val="20"/>
                <w:szCs w:val="20"/>
              </w:rPr>
              <w:t xml:space="preserve">portations bilatérales entre l’Algérie et les pays membres de la CEDEAO </w:t>
            </w:r>
            <w:r w:rsidRPr="009E29AF">
              <w:rPr>
                <w:rFonts w:ascii="Arial Narrow" w:hAnsi="Arial Narrow" w:cs="Times New Roman"/>
                <w:b w:val="0"/>
                <w:sz w:val="20"/>
                <w:szCs w:val="20"/>
              </w:rPr>
              <w:t>(Export)</w:t>
            </w:r>
          </w:p>
        </w:tc>
        <w:tc>
          <w:tcPr>
            <w:tcW w:w="0" w:type="auto"/>
            <w:vAlign w:val="center"/>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i/>
                <w:sz w:val="20"/>
                <w:szCs w:val="20"/>
              </w:rPr>
              <w:t xml:space="preserve">Direction Of Trade </w:t>
            </w:r>
            <w:proofErr w:type="spellStart"/>
            <w:r w:rsidRPr="009E29AF">
              <w:rPr>
                <w:rFonts w:ascii="Arial Narrow" w:hAnsi="Arial Narrow" w:cs="Times New Roman"/>
                <w:i/>
                <w:sz w:val="20"/>
                <w:szCs w:val="20"/>
              </w:rPr>
              <w:t>Statistics</w:t>
            </w:r>
            <w:proofErr w:type="spellEnd"/>
          </w:p>
        </w:tc>
        <w:tc>
          <w:tcPr>
            <w:tcW w:w="0" w:type="auto"/>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USD (unités)</w:t>
            </w:r>
          </w:p>
        </w:tc>
      </w:tr>
      <w:tr w:rsidR="00A404A1" w:rsidRPr="004C198B" w:rsidTr="009E29AF">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Produit Intérieur Brut</w:t>
            </w:r>
            <w:r w:rsidR="009E29AF">
              <w:rPr>
                <w:rFonts w:ascii="Arial Narrow" w:hAnsi="Arial Narrow" w:cs="Times New Roman"/>
                <w:b w:val="0"/>
                <w:sz w:val="20"/>
                <w:szCs w:val="20"/>
              </w:rPr>
              <w:t xml:space="preserve"> </w:t>
            </w:r>
            <w:r w:rsidRPr="009E29AF">
              <w:rPr>
                <w:rFonts w:ascii="Arial Narrow" w:hAnsi="Arial Narrow" w:cs="Times New Roman"/>
                <w:b w:val="0"/>
                <w:sz w:val="20"/>
                <w:szCs w:val="20"/>
              </w:rPr>
              <w:t>(PIB)</w:t>
            </w:r>
          </w:p>
        </w:tc>
        <w:tc>
          <w:tcPr>
            <w:tcW w:w="0" w:type="auto"/>
            <w:vAlign w:val="center"/>
          </w:tcPr>
          <w:p w:rsidR="00764142" w:rsidRPr="009E29AF" w:rsidRDefault="00764142"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val="en-US"/>
              </w:rPr>
            </w:pPr>
            <w:r w:rsidRPr="009E29AF">
              <w:rPr>
                <w:rFonts w:ascii="Arial Narrow" w:hAnsi="Arial Narrow" w:cs="Times New Roman"/>
                <w:sz w:val="20"/>
                <w:szCs w:val="20"/>
                <w:lang w:val="en-US"/>
              </w:rPr>
              <w:t>CNUCED</w:t>
            </w:r>
          </w:p>
        </w:tc>
        <w:tc>
          <w:tcPr>
            <w:tcW w:w="0" w:type="auto"/>
          </w:tcPr>
          <w:p w:rsidR="00764142" w:rsidRPr="009E29AF" w:rsidRDefault="00764142"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 xml:space="preserve">en millions de USD, à prix courant, taux de change courant </w:t>
            </w:r>
          </w:p>
        </w:tc>
      </w:tr>
      <w:tr w:rsidR="00A404A1" w:rsidRPr="009E29AF" w:rsidTr="009E2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Distances (entre les capitales)(D)</w:t>
            </w:r>
          </w:p>
        </w:tc>
        <w:tc>
          <w:tcPr>
            <w:tcW w:w="0" w:type="auto"/>
            <w:vAlign w:val="center"/>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 xml:space="preserve">Base de données du CEPII </w:t>
            </w:r>
          </w:p>
        </w:tc>
        <w:tc>
          <w:tcPr>
            <w:tcW w:w="0" w:type="auto"/>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en km</w:t>
            </w:r>
          </w:p>
        </w:tc>
      </w:tr>
      <w:tr w:rsidR="009E29AF" w:rsidRPr="00654A54" w:rsidTr="009E29AF">
        <w:tc>
          <w:tcPr>
            <w:cnfStyle w:val="001000000000" w:firstRow="0" w:lastRow="0" w:firstColumn="1" w:lastColumn="0" w:oddVBand="0" w:evenVBand="0" w:oddHBand="0" w:evenHBand="0" w:firstRowFirstColumn="0" w:firstRowLastColumn="0" w:lastRowFirstColumn="0" w:lastRowLastColumn="0"/>
            <w:tcW w:w="0" w:type="auto"/>
          </w:tcPr>
          <w:p w:rsidR="009E29AF" w:rsidRPr="00654A54" w:rsidRDefault="009E29AF" w:rsidP="009E29AF">
            <w:pPr>
              <w:rPr>
                <w:rFonts w:ascii="Arial Narrow" w:hAnsi="Arial Narrow" w:cs="Times New Roman"/>
                <w:b w:val="0"/>
                <w:i/>
                <w:sz w:val="20"/>
                <w:szCs w:val="20"/>
              </w:rPr>
            </w:pPr>
            <w:r w:rsidRPr="00654A54">
              <w:rPr>
                <w:rFonts w:ascii="Arial Narrow" w:hAnsi="Arial Narrow" w:cs="Times New Roman"/>
                <w:b w:val="0"/>
                <w:i/>
                <w:sz w:val="20"/>
                <w:szCs w:val="20"/>
              </w:rPr>
              <w:t>Variables de contrôle</w:t>
            </w:r>
          </w:p>
        </w:tc>
        <w:tc>
          <w:tcPr>
            <w:tcW w:w="0" w:type="auto"/>
            <w:vAlign w:val="center"/>
          </w:tcPr>
          <w:p w:rsidR="009E29AF" w:rsidRPr="00654A54" w:rsidRDefault="009E29AF"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i/>
                <w:sz w:val="20"/>
                <w:szCs w:val="20"/>
              </w:rPr>
            </w:pPr>
          </w:p>
        </w:tc>
        <w:tc>
          <w:tcPr>
            <w:tcW w:w="0" w:type="auto"/>
          </w:tcPr>
          <w:p w:rsidR="009E29AF" w:rsidRPr="00654A54" w:rsidRDefault="009E29AF"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i/>
                <w:sz w:val="20"/>
                <w:szCs w:val="20"/>
              </w:rPr>
            </w:pPr>
          </w:p>
        </w:tc>
      </w:tr>
      <w:tr w:rsidR="00A404A1" w:rsidRPr="009E29AF" w:rsidTr="009E2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Stabilité politique et absence violence (SP)</w:t>
            </w:r>
          </w:p>
        </w:tc>
        <w:tc>
          <w:tcPr>
            <w:tcW w:w="0" w:type="auto"/>
            <w:vAlign w:val="center"/>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i/>
                <w:sz w:val="20"/>
                <w:szCs w:val="20"/>
              </w:rPr>
              <w:t xml:space="preserve">World </w:t>
            </w:r>
            <w:proofErr w:type="spellStart"/>
            <w:r w:rsidRPr="009E29AF">
              <w:rPr>
                <w:rFonts w:ascii="Arial Narrow" w:hAnsi="Arial Narrow" w:cs="Times New Roman"/>
                <w:i/>
                <w:sz w:val="20"/>
                <w:szCs w:val="20"/>
              </w:rPr>
              <w:t>Governance</w:t>
            </w:r>
            <w:proofErr w:type="spellEnd"/>
            <w:r w:rsidRPr="009E29AF">
              <w:rPr>
                <w:rFonts w:ascii="Arial Narrow" w:hAnsi="Arial Narrow" w:cs="Times New Roman"/>
                <w:i/>
                <w:sz w:val="20"/>
                <w:szCs w:val="20"/>
              </w:rPr>
              <w:t xml:space="preserve"> </w:t>
            </w:r>
            <w:proofErr w:type="spellStart"/>
            <w:r w:rsidRPr="009E29AF">
              <w:rPr>
                <w:rFonts w:ascii="Arial Narrow" w:hAnsi="Arial Narrow" w:cs="Times New Roman"/>
                <w:i/>
                <w:sz w:val="20"/>
                <w:szCs w:val="20"/>
              </w:rPr>
              <w:t>Indicators</w:t>
            </w:r>
            <w:proofErr w:type="spellEnd"/>
          </w:p>
        </w:tc>
        <w:tc>
          <w:tcPr>
            <w:tcW w:w="0" w:type="auto"/>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score</w:t>
            </w:r>
          </w:p>
        </w:tc>
      </w:tr>
      <w:tr w:rsidR="00A404A1" w:rsidRPr="009E29AF" w:rsidTr="009E29AF">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Pourcentage des routes bitumées (R)</w:t>
            </w:r>
          </w:p>
        </w:tc>
        <w:tc>
          <w:tcPr>
            <w:tcW w:w="0" w:type="auto"/>
            <w:vAlign w:val="center"/>
          </w:tcPr>
          <w:p w:rsidR="00764142" w:rsidRPr="009E29AF" w:rsidRDefault="00764142"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i/>
                <w:sz w:val="20"/>
                <w:szCs w:val="20"/>
              </w:rPr>
              <w:t xml:space="preserve">World </w:t>
            </w:r>
            <w:proofErr w:type="spellStart"/>
            <w:r w:rsidRPr="009E29AF">
              <w:rPr>
                <w:rFonts w:ascii="Arial Narrow" w:hAnsi="Arial Narrow" w:cs="Times New Roman"/>
                <w:i/>
                <w:sz w:val="20"/>
                <w:szCs w:val="20"/>
              </w:rPr>
              <w:t>Development</w:t>
            </w:r>
            <w:proofErr w:type="spellEnd"/>
            <w:r w:rsidRPr="009E29AF">
              <w:rPr>
                <w:rFonts w:ascii="Arial Narrow" w:hAnsi="Arial Narrow" w:cs="Times New Roman"/>
                <w:i/>
                <w:sz w:val="20"/>
                <w:szCs w:val="20"/>
              </w:rPr>
              <w:t xml:space="preserve"> </w:t>
            </w:r>
            <w:proofErr w:type="spellStart"/>
            <w:r w:rsidRPr="009E29AF">
              <w:rPr>
                <w:rFonts w:ascii="Arial Narrow" w:hAnsi="Arial Narrow" w:cs="Times New Roman"/>
                <w:i/>
                <w:sz w:val="20"/>
                <w:szCs w:val="20"/>
              </w:rPr>
              <w:t>Indicators</w:t>
            </w:r>
            <w:proofErr w:type="spellEnd"/>
          </w:p>
        </w:tc>
        <w:tc>
          <w:tcPr>
            <w:tcW w:w="0" w:type="auto"/>
          </w:tcPr>
          <w:p w:rsidR="00764142" w:rsidRPr="009E29AF" w:rsidRDefault="00764142"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En pourcentage</w:t>
            </w:r>
          </w:p>
        </w:tc>
      </w:tr>
      <w:tr w:rsidR="00A404A1" w:rsidRPr="009E29AF" w:rsidTr="009E2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Nombre de personnes utilisant le téléphone mobile</w:t>
            </w:r>
            <w:r w:rsidR="009E29AF">
              <w:rPr>
                <w:rFonts w:ascii="Arial Narrow" w:hAnsi="Arial Narrow" w:cs="Times New Roman"/>
                <w:b w:val="0"/>
                <w:sz w:val="20"/>
                <w:szCs w:val="20"/>
              </w:rPr>
              <w:t xml:space="preserve"> </w:t>
            </w:r>
            <w:r w:rsidRPr="009E29AF">
              <w:rPr>
                <w:rFonts w:ascii="Arial Narrow" w:hAnsi="Arial Narrow" w:cs="Times New Roman"/>
                <w:b w:val="0"/>
                <w:sz w:val="20"/>
                <w:szCs w:val="20"/>
              </w:rPr>
              <w:t>(Mob)</w:t>
            </w:r>
          </w:p>
        </w:tc>
        <w:tc>
          <w:tcPr>
            <w:tcW w:w="0" w:type="auto"/>
            <w:vAlign w:val="center"/>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i/>
                <w:sz w:val="20"/>
                <w:szCs w:val="20"/>
              </w:rPr>
              <w:t xml:space="preserve">World </w:t>
            </w:r>
            <w:proofErr w:type="spellStart"/>
            <w:r w:rsidRPr="009E29AF">
              <w:rPr>
                <w:rFonts w:ascii="Arial Narrow" w:hAnsi="Arial Narrow" w:cs="Times New Roman"/>
                <w:i/>
                <w:sz w:val="20"/>
                <w:szCs w:val="20"/>
              </w:rPr>
              <w:t>Development</w:t>
            </w:r>
            <w:proofErr w:type="spellEnd"/>
            <w:r w:rsidRPr="009E29AF">
              <w:rPr>
                <w:rFonts w:ascii="Arial Narrow" w:hAnsi="Arial Narrow" w:cs="Times New Roman"/>
                <w:i/>
                <w:sz w:val="20"/>
                <w:szCs w:val="20"/>
              </w:rPr>
              <w:t xml:space="preserve"> </w:t>
            </w:r>
            <w:proofErr w:type="spellStart"/>
            <w:r w:rsidRPr="009E29AF">
              <w:rPr>
                <w:rFonts w:ascii="Arial Narrow" w:hAnsi="Arial Narrow" w:cs="Times New Roman"/>
                <w:i/>
                <w:sz w:val="20"/>
                <w:szCs w:val="20"/>
              </w:rPr>
              <w:t>Indicators</w:t>
            </w:r>
            <w:proofErr w:type="spellEnd"/>
          </w:p>
        </w:tc>
        <w:tc>
          <w:tcPr>
            <w:tcW w:w="0" w:type="auto"/>
          </w:tcPr>
          <w:p w:rsidR="00764142" w:rsidRPr="009E29AF"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En pourcentage</w:t>
            </w:r>
          </w:p>
        </w:tc>
      </w:tr>
      <w:tr w:rsidR="00A404A1" w:rsidRPr="004C198B" w:rsidTr="009E29AF">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764142" w:rsidP="009E29AF">
            <w:pPr>
              <w:rPr>
                <w:rFonts w:ascii="Arial Narrow" w:hAnsi="Arial Narrow" w:cs="Times New Roman"/>
                <w:b w:val="0"/>
                <w:sz w:val="20"/>
                <w:szCs w:val="20"/>
              </w:rPr>
            </w:pPr>
            <w:r w:rsidRPr="009E29AF">
              <w:rPr>
                <w:rFonts w:ascii="Arial Narrow" w:hAnsi="Arial Narrow" w:cs="Times New Roman"/>
                <w:b w:val="0"/>
                <w:sz w:val="20"/>
                <w:szCs w:val="20"/>
              </w:rPr>
              <w:t>Investissement Direct Etrangers (IDE)</w:t>
            </w:r>
          </w:p>
        </w:tc>
        <w:tc>
          <w:tcPr>
            <w:tcW w:w="0" w:type="auto"/>
            <w:vAlign w:val="center"/>
          </w:tcPr>
          <w:p w:rsidR="00764142" w:rsidRPr="009E29AF" w:rsidRDefault="00764142"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val="en-US"/>
              </w:rPr>
            </w:pPr>
            <w:r w:rsidRPr="009E29AF">
              <w:rPr>
                <w:rFonts w:ascii="Arial Narrow" w:hAnsi="Arial Narrow" w:cs="Times New Roman"/>
                <w:sz w:val="20"/>
                <w:szCs w:val="20"/>
                <w:lang w:val="en-US"/>
              </w:rPr>
              <w:t>CNUCED</w:t>
            </w:r>
          </w:p>
        </w:tc>
        <w:tc>
          <w:tcPr>
            <w:tcW w:w="0" w:type="auto"/>
          </w:tcPr>
          <w:p w:rsidR="00764142" w:rsidRPr="009E29AF" w:rsidRDefault="00764142"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 xml:space="preserve">En millions US Dollars au prix courant et au taux de change courant, </w:t>
            </w:r>
          </w:p>
        </w:tc>
      </w:tr>
      <w:tr w:rsidR="00A404A1" w:rsidRPr="004C198B" w:rsidTr="009E2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142" w:rsidRPr="00654A54" w:rsidRDefault="00654A54" w:rsidP="00654A54">
            <w:pPr>
              <w:rPr>
                <w:rFonts w:ascii="Arial Narrow" w:hAnsi="Arial Narrow" w:cs="Times New Roman"/>
                <w:b w:val="0"/>
                <w:i/>
                <w:sz w:val="20"/>
                <w:szCs w:val="20"/>
              </w:rPr>
            </w:pPr>
            <w:r>
              <w:rPr>
                <w:rFonts w:ascii="Arial Narrow" w:hAnsi="Arial Narrow" w:cs="Times New Roman"/>
                <w:b w:val="0"/>
                <w:i/>
                <w:sz w:val="20"/>
                <w:szCs w:val="20"/>
              </w:rPr>
              <w:t>V</w:t>
            </w:r>
            <w:r w:rsidR="00764142" w:rsidRPr="00654A54">
              <w:rPr>
                <w:rFonts w:ascii="Arial Narrow" w:hAnsi="Arial Narrow" w:cs="Times New Roman"/>
                <w:b w:val="0"/>
                <w:i/>
                <w:sz w:val="20"/>
                <w:szCs w:val="20"/>
              </w:rPr>
              <w:t xml:space="preserve">ariables </w:t>
            </w:r>
            <w:r>
              <w:rPr>
                <w:rFonts w:ascii="Arial Narrow" w:hAnsi="Arial Narrow" w:cs="Times New Roman"/>
                <w:b w:val="0"/>
                <w:i/>
                <w:sz w:val="20"/>
                <w:szCs w:val="20"/>
              </w:rPr>
              <w:t xml:space="preserve">traditionnelles </w:t>
            </w:r>
            <w:r w:rsidR="00764142" w:rsidRPr="00654A54">
              <w:rPr>
                <w:rFonts w:ascii="Arial Narrow" w:hAnsi="Arial Narrow" w:cs="Times New Roman"/>
                <w:b w:val="0"/>
                <w:i/>
                <w:sz w:val="20"/>
                <w:szCs w:val="20"/>
              </w:rPr>
              <w:t>du modèle de gravité</w:t>
            </w:r>
          </w:p>
        </w:tc>
        <w:tc>
          <w:tcPr>
            <w:tcW w:w="0" w:type="auto"/>
            <w:vAlign w:val="center"/>
          </w:tcPr>
          <w:p w:rsidR="00764142" w:rsidRPr="00654A54"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i/>
                <w:sz w:val="20"/>
                <w:szCs w:val="20"/>
              </w:rPr>
            </w:pPr>
          </w:p>
        </w:tc>
        <w:tc>
          <w:tcPr>
            <w:tcW w:w="0" w:type="auto"/>
          </w:tcPr>
          <w:p w:rsidR="00764142" w:rsidRPr="00654A54" w:rsidRDefault="00764142" w:rsidP="009E29A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i/>
                <w:sz w:val="20"/>
                <w:szCs w:val="20"/>
              </w:rPr>
            </w:pPr>
          </w:p>
        </w:tc>
      </w:tr>
      <w:tr w:rsidR="00A404A1" w:rsidRPr="004C198B" w:rsidTr="009E29AF">
        <w:tc>
          <w:tcPr>
            <w:cnfStyle w:val="001000000000" w:firstRow="0" w:lastRow="0" w:firstColumn="1" w:lastColumn="0" w:oddVBand="0" w:evenVBand="0" w:oddHBand="0" w:evenHBand="0" w:firstRowFirstColumn="0" w:firstRowLastColumn="0" w:lastRowFirstColumn="0" w:lastRowLastColumn="0"/>
            <w:tcW w:w="0" w:type="auto"/>
          </w:tcPr>
          <w:p w:rsidR="00764142" w:rsidRPr="009E29AF" w:rsidRDefault="009E29AF" w:rsidP="009E29AF">
            <w:pPr>
              <w:rPr>
                <w:rFonts w:ascii="Arial Narrow" w:hAnsi="Arial Narrow" w:cs="Times New Roman"/>
                <w:b w:val="0"/>
                <w:sz w:val="20"/>
                <w:szCs w:val="20"/>
              </w:rPr>
            </w:pPr>
            <w:r>
              <w:rPr>
                <w:rFonts w:ascii="Arial Narrow" w:hAnsi="Arial Narrow" w:cs="Times New Roman"/>
                <w:b w:val="0"/>
                <w:sz w:val="20"/>
                <w:szCs w:val="20"/>
              </w:rPr>
              <w:t>Enclave</w:t>
            </w:r>
            <w:r w:rsidR="00764142" w:rsidRPr="009E29AF">
              <w:rPr>
                <w:rFonts w:ascii="Arial Narrow" w:hAnsi="Arial Narrow" w:cs="Times New Roman"/>
                <w:b w:val="0"/>
                <w:sz w:val="20"/>
                <w:szCs w:val="20"/>
              </w:rPr>
              <w:t xml:space="preserve"> </w:t>
            </w:r>
            <w:r>
              <w:rPr>
                <w:rFonts w:ascii="Arial Narrow" w:hAnsi="Arial Narrow" w:cs="Times New Roman"/>
                <w:b w:val="0"/>
                <w:sz w:val="20"/>
                <w:szCs w:val="20"/>
              </w:rPr>
              <w:t>(</w:t>
            </w:r>
            <w:proofErr w:type="spellStart"/>
            <w:r>
              <w:rPr>
                <w:rFonts w:ascii="Arial Narrow" w:hAnsi="Arial Narrow" w:cs="Times New Roman"/>
                <w:b w:val="0"/>
                <w:sz w:val="20"/>
                <w:szCs w:val="20"/>
              </w:rPr>
              <w:t>Encl</w:t>
            </w:r>
            <w:proofErr w:type="spellEnd"/>
            <w:r w:rsidR="00764142" w:rsidRPr="009E29AF">
              <w:rPr>
                <w:rFonts w:ascii="Arial Narrow" w:hAnsi="Arial Narrow" w:cs="Times New Roman"/>
                <w:b w:val="0"/>
                <w:sz w:val="20"/>
                <w:szCs w:val="20"/>
              </w:rPr>
              <w:t>)</w:t>
            </w:r>
          </w:p>
        </w:tc>
        <w:tc>
          <w:tcPr>
            <w:tcW w:w="0" w:type="auto"/>
            <w:vAlign w:val="center"/>
          </w:tcPr>
          <w:p w:rsidR="00764142" w:rsidRPr="009E29AF" w:rsidRDefault="00764142" w:rsidP="009E29A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L’auteur</w:t>
            </w:r>
          </w:p>
        </w:tc>
        <w:tc>
          <w:tcPr>
            <w:tcW w:w="0" w:type="auto"/>
          </w:tcPr>
          <w:p w:rsidR="00764142" w:rsidRPr="009E29AF" w:rsidRDefault="00A404A1" w:rsidP="00A404A1">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A404A1">
              <w:rPr>
                <w:rFonts w:ascii="Arial Narrow" w:hAnsi="Arial Narrow" w:cs="Times New Roman"/>
                <w:sz w:val="20"/>
                <w:szCs w:val="20"/>
              </w:rPr>
              <w:t>La variable binaire d’enclavement qui est égale à 2 si i et j sont tous</w:t>
            </w:r>
            <w:r>
              <w:rPr>
                <w:rFonts w:ascii="Arial Narrow" w:hAnsi="Arial Narrow" w:cs="Times New Roman"/>
                <w:sz w:val="20"/>
                <w:szCs w:val="20"/>
              </w:rPr>
              <w:t xml:space="preserve"> </w:t>
            </w:r>
            <w:r w:rsidRPr="00A404A1">
              <w:rPr>
                <w:rFonts w:ascii="Arial Narrow" w:hAnsi="Arial Narrow" w:cs="Times New Roman"/>
                <w:sz w:val="20"/>
                <w:szCs w:val="20"/>
              </w:rPr>
              <w:t>les deux des pays enclavés, 1 si l’un des deux partenaires n’a pas de frontière</w:t>
            </w:r>
            <w:r>
              <w:rPr>
                <w:rFonts w:ascii="Arial Narrow" w:hAnsi="Arial Narrow" w:cs="Times New Roman"/>
                <w:sz w:val="20"/>
                <w:szCs w:val="20"/>
              </w:rPr>
              <w:t xml:space="preserve"> </w:t>
            </w:r>
            <w:r w:rsidRPr="00A404A1">
              <w:rPr>
                <w:rFonts w:ascii="Arial Narrow" w:hAnsi="Arial Narrow" w:cs="Times New Roman"/>
                <w:sz w:val="20"/>
                <w:szCs w:val="20"/>
              </w:rPr>
              <w:t>maritime et 0 s’ils ont tous une frontière maritime.</w:t>
            </w:r>
          </w:p>
        </w:tc>
      </w:tr>
      <w:tr w:rsidR="00A404A1" w:rsidRPr="004C198B" w:rsidTr="007E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2273" w:rsidRPr="009E29AF" w:rsidRDefault="00822273" w:rsidP="007E5B6C">
            <w:pPr>
              <w:rPr>
                <w:rFonts w:ascii="Arial Narrow" w:hAnsi="Arial Narrow" w:cs="Times New Roman"/>
                <w:b w:val="0"/>
                <w:sz w:val="20"/>
                <w:szCs w:val="20"/>
              </w:rPr>
            </w:pPr>
            <w:r>
              <w:rPr>
                <w:rFonts w:ascii="Arial Narrow" w:hAnsi="Arial Narrow" w:cs="Times New Roman"/>
                <w:b w:val="0"/>
                <w:sz w:val="20"/>
                <w:szCs w:val="20"/>
              </w:rPr>
              <w:t>Avoir une langue commune</w:t>
            </w:r>
          </w:p>
        </w:tc>
        <w:tc>
          <w:tcPr>
            <w:tcW w:w="0" w:type="auto"/>
            <w:vAlign w:val="center"/>
          </w:tcPr>
          <w:p w:rsidR="00822273" w:rsidRPr="009E29AF" w:rsidRDefault="00822273" w:rsidP="007E5B6C">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9AF">
              <w:rPr>
                <w:rFonts w:ascii="Arial Narrow" w:hAnsi="Arial Narrow" w:cs="Times New Roman"/>
                <w:sz w:val="20"/>
                <w:szCs w:val="20"/>
              </w:rPr>
              <w:t>L’auteur</w:t>
            </w:r>
          </w:p>
        </w:tc>
        <w:tc>
          <w:tcPr>
            <w:tcW w:w="0" w:type="auto"/>
            <w:vAlign w:val="center"/>
          </w:tcPr>
          <w:p w:rsidR="00822273" w:rsidRPr="009E29AF" w:rsidRDefault="007624C0" w:rsidP="007624C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7624C0">
              <w:rPr>
                <w:rFonts w:ascii="Arial Narrow" w:hAnsi="Arial Narrow" w:cs="Times New Roman"/>
                <w:sz w:val="20"/>
                <w:szCs w:val="20"/>
              </w:rPr>
              <w:t>Variable binaire pour le partage d’une langue officielle prend la</w:t>
            </w:r>
            <w:r>
              <w:rPr>
                <w:rFonts w:ascii="Arial Narrow" w:hAnsi="Arial Narrow" w:cs="Times New Roman"/>
                <w:sz w:val="20"/>
                <w:szCs w:val="20"/>
              </w:rPr>
              <w:t xml:space="preserve"> </w:t>
            </w:r>
            <w:r w:rsidRPr="007624C0">
              <w:rPr>
                <w:rFonts w:ascii="Arial Narrow" w:hAnsi="Arial Narrow" w:cs="Times New Roman"/>
                <w:sz w:val="20"/>
                <w:szCs w:val="20"/>
              </w:rPr>
              <w:t>valeur 1 si i et j partagent une même langue officielle et 0 sinon.</w:t>
            </w:r>
          </w:p>
        </w:tc>
      </w:tr>
    </w:tbl>
    <w:p w:rsidR="00764142" w:rsidRDefault="00764142" w:rsidP="00764142">
      <w:pPr>
        <w:rPr>
          <w:rFonts w:ascii="Arial Narrow" w:hAnsi="Arial Narrow" w:cs="Times New Roman"/>
          <w:sz w:val="24"/>
          <w:szCs w:val="24"/>
        </w:rPr>
      </w:pPr>
      <w:r w:rsidRPr="001C0391">
        <w:rPr>
          <w:rFonts w:ascii="Arial Narrow" w:hAnsi="Arial Narrow" w:cs="Times New Roman"/>
          <w:sz w:val="24"/>
          <w:szCs w:val="24"/>
        </w:rPr>
        <w:t>Source: Auteur</w:t>
      </w:r>
    </w:p>
    <w:p w:rsidR="00385E08" w:rsidRPr="001C0391" w:rsidRDefault="00385E08" w:rsidP="00764142">
      <w:pPr>
        <w:rPr>
          <w:rFonts w:ascii="Arial Narrow" w:hAnsi="Arial Narrow" w:cs="Times New Roman"/>
          <w:sz w:val="24"/>
          <w:szCs w:val="24"/>
        </w:rPr>
      </w:pPr>
    </w:p>
    <w:p w:rsidR="00F35459" w:rsidRPr="00E36271" w:rsidRDefault="000C6E10" w:rsidP="00F35459">
      <w:pPr>
        <w:pStyle w:val="Titre2"/>
        <w:numPr>
          <w:ilvl w:val="1"/>
          <w:numId w:val="1"/>
        </w:numPr>
        <w:rPr>
          <w:rFonts w:ascii="Arial Narrow" w:hAnsi="Arial Narrow" w:cs="Times New Roman"/>
          <w:color w:val="auto"/>
          <w:sz w:val="24"/>
          <w:szCs w:val="24"/>
        </w:rPr>
      </w:pPr>
      <w:r>
        <w:rPr>
          <w:rFonts w:ascii="Arial Narrow" w:hAnsi="Arial Narrow" w:cs="Times New Roman"/>
          <w:color w:val="auto"/>
          <w:sz w:val="24"/>
          <w:szCs w:val="24"/>
        </w:rPr>
        <w:t>Evaluation du potentiel de commerce entre l’Algérie et les pays de la CEDEAO</w:t>
      </w:r>
    </w:p>
    <w:p w:rsidR="00764142" w:rsidRDefault="00764142" w:rsidP="00EA3C34">
      <w:pPr>
        <w:rPr>
          <w:rFonts w:ascii="Arial Narrow" w:hAnsi="Arial Narrow"/>
          <w:lang w:val="fr-FR"/>
        </w:rPr>
      </w:pPr>
    </w:p>
    <w:p w:rsidR="000C6E10" w:rsidRDefault="00385E08" w:rsidP="005219F6">
      <w:pPr>
        <w:spacing w:line="360" w:lineRule="auto"/>
        <w:jc w:val="both"/>
        <w:rPr>
          <w:rFonts w:ascii="Arial Narrow" w:hAnsi="Arial Narrow"/>
          <w:lang w:val="fr-FR"/>
        </w:rPr>
      </w:pPr>
      <w:r>
        <w:rPr>
          <w:rFonts w:ascii="Arial Narrow" w:hAnsi="Arial Narrow"/>
          <w:lang w:val="fr-FR"/>
        </w:rPr>
        <w:t>Pour évaluer le potentiel de commerce entre l’Algérie et la CEDEAO</w:t>
      </w:r>
      <w:r w:rsidR="00D9787E">
        <w:rPr>
          <w:rFonts w:ascii="Arial Narrow" w:hAnsi="Arial Narrow"/>
          <w:lang w:val="fr-FR"/>
        </w:rPr>
        <w:t xml:space="preserve"> pour l’année 2016 par exemple</w:t>
      </w:r>
      <w:r w:rsidR="005219F6">
        <w:rPr>
          <w:rFonts w:ascii="Arial Narrow" w:hAnsi="Arial Narrow"/>
          <w:lang w:val="fr-FR"/>
        </w:rPr>
        <w:t>, notre approche à partir du modèle de gravité va consister en deux étapes :</w:t>
      </w:r>
    </w:p>
    <w:p w:rsidR="005219F6" w:rsidRPr="005219F6" w:rsidRDefault="005219F6" w:rsidP="005219F6">
      <w:pPr>
        <w:pStyle w:val="Paragraphedeliste"/>
        <w:numPr>
          <w:ilvl w:val="0"/>
          <w:numId w:val="4"/>
        </w:numPr>
        <w:spacing w:line="360" w:lineRule="auto"/>
        <w:jc w:val="both"/>
        <w:rPr>
          <w:rFonts w:ascii="Arial Narrow" w:hAnsi="Arial Narrow"/>
          <w:lang w:val="fr-FR"/>
        </w:rPr>
      </w:pPr>
      <w:r>
        <w:rPr>
          <w:rFonts w:ascii="Arial Narrow" w:hAnsi="Arial Narrow"/>
          <w:lang w:val="fr-FR"/>
        </w:rPr>
        <w:t>L</w:t>
      </w:r>
      <w:r w:rsidR="00352C35">
        <w:rPr>
          <w:rFonts w:ascii="Arial Narrow" w:hAnsi="Arial Narrow"/>
          <w:lang w:val="fr-FR"/>
        </w:rPr>
        <w:t>e calcul</w:t>
      </w:r>
      <w:r w:rsidRPr="005219F6">
        <w:rPr>
          <w:rFonts w:ascii="Arial Narrow" w:hAnsi="Arial Narrow"/>
          <w:lang w:val="fr-FR"/>
        </w:rPr>
        <w:t xml:space="preserve"> des exportations à partir du modèle</w:t>
      </w:r>
      <w:r>
        <w:rPr>
          <w:rFonts w:ascii="Arial Narrow" w:hAnsi="Arial Narrow"/>
          <w:lang w:val="fr-FR"/>
        </w:rPr>
        <w:t xml:space="preserve"> de gravité</w:t>
      </w:r>
      <w:r w:rsidR="00352C35">
        <w:rPr>
          <w:rFonts w:ascii="Arial Narrow" w:hAnsi="Arial Narrow"/>
          <w:lang w:val="fr-FR"/>
        </w:rPr>
        <w:t xml:space="preserve"> estimée.</w:t>
      </w:r>
    </w:p>
    <w:p w:rsidR="005219F6" w:rsidRDefault="005219F6" w:rsidP="005219F6">
      <w:pPr>
        <w:pStyle w:val="Paragraphedeliste"/>
        <w:numPr>
          <w:ilvl w:val="0"/>
          <w:numId w:val="4"/>
        </w:numPr>
        <w:spacing w:line="360" w:lineRule="auto"/>
        <w:jc w:val="both"/>
        <w:rPr>
          <w:rFonts w:ascii="Arial Narrow" w:hAnsi="Arial Narrow"/>
          <w:lang w:val="fr-FR"/>
        </w:rPr>
      </w:pPr>
      <w:r w:rsidRPr="005219F6">
        <w:rPr>
          <w:rFonts w:ascii="Arial Narrow" w:hAnsi="Arial Narrow"/>
          <w:lang w:val="fr-FR"/>
        </w:rPr>
        <w:t xml:space="preserve">Sachant la valeur des exportations observée, l’on calcule le rapport Exportations observées en pourcentage des </w:t>
      </w:r>
      <w:r>
        <w:rPr>
          <w:rFonts w:ascii="Arial Narrow" w:hAnsi="Arial Narrow"/>
          <w:lang w:val="fr-FR"/>
        </w:rPr>
        <w:t>exportations estimées</w:t>
      </w:r>
      <w:r w:rsidR="00ED345F">
        <w:rPr>
          <w:rFonts w:ascii="Arial Narrow" w:hAnsi="Arial Narrow"/>
          <w:lang w:val="fr-FR"/>
        </w:rPr>
        <w:t>.</w:t>
      </w:r>
    </w:p>
    <w:p w:rsidR="00D9787E" w:rsidRPr="00D9787E" w:rsidRDefault="00ED345F" w:rsidP="00D9787E">
      <w:pPr>
        <w:spacing w:line="360" w:lineRule="auto"/>
        <w:jc w:val="both"/>
        <w:rPr>
          <w:rFonts w:ascii="Arial Narrow" w:hAnsi="Arial Narrow"/>
          <w:lang w:val="fr-FR"/>
        </w:rPr>
      </w:pPr>
      <w:r>
        <w:rPr>
          <w:rFonts w:ascii="Arial Narrow" w:hAnsi="Arial Narrow"/>
          <w:lang w:val="fr-FR"/>
        </w:rPr>
        <w:t xml:space="preserve">Cette valeur exprimée en pourcentage nous donne une idée du potentiel de commerce. </w:t>
      </w:r>
      <w:r w:rsidR="00D9787E">
        <w:rPr>
          <w:rFonts w:ascii="Arial Narrow" w:hAnsi="Arial Narrow"/>
          <w:lang w:val="fr-FR"/>
        </w:rPr>
        <w:t>Dans un tableau il sera possible de présenter le potentiel de commerce de l’Algérie avec chaque pays membre de la CEDEAO avec la même approche</w:t>
      </w:r>
      <w:r>
        <w:rPr>
          <w:rFonts w:ascii="Arial Narrow" w:hAnsi="Arial Narrow"/>
          <w:lang w:val="fr-FR"/>
        </w:rPr>
        <w:t xml:space="preserve"> pour l’année 2016</w:t>
      </w:r>
      <w:r w:rsidR="00D9787E">
        <w:rPr>
          <w:rFonts w:ascii="Arial Narrow" w:hAnsi="Arial Narrow"/>
          <w:lang w:val="fr-FR"/>
        </w:rPr>
        <w:t>.</w:t>
      </w:r>
    </w:p>
    <w:sectPr w:rsidR="00D9787E" w:rsidRPr="00D9787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C20" w:rsidRDefault="00CE4C20" w:rsidP="00457B74">
      <w:pPr>
        <w:spacing w:after="0" w:line="240" w:lineRule="auto"/>
      </w:pPr>
      <w:r>
        <w:separator/>
      </w:r>
    </w:p>
  </w:endnote>
  <w:endnote w:type="continuationSeparator" w:id="0">
    <w:p w:rsidR="00CE4C20" w:rsidRDefault="00CE4C20" w:rsidP="0045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C20" w:rsidRDefault="00CE4C20" w:rsidP="00457B74">
      <w:pPr>
        <w:spacing w:after="0" w:line="240" w:lineRule="auto"/>
      </w:pPr>
      <w:r>
        <w:separator/>
      </w:r>
    </w:p>
  </w:footnote>
  <w:footnote w:type="continuationSeparator" w:id="0">
    <w:p w:rsidR="00CE4C20" w:rsidRDefault="00CE4C20" w:rsidP="00457B74">
      <w:pPr>
        <w:spacing w:after="0" w:line="240" w:lineRule="auto"/>
      </w:pPr>
      <w:r>
        <w:continuationSeparator/>
      </w:r>
    </w:p>
  </w:footnote>
  <w:footnote w:id="1">
    <w:p w:rsidR="00457B74" w:rsidRPr="00457B74" w:rsidRDefault="00457B74">
      <w:pPr>
        <w:pStyle w:val="Notedebasdepage"/>
        <w:rPr>
          <w:lang w:val="fr-CI"/>
        </w:rPr>
      </w:pPr>
      <w:r>
        <w:rPr>
          <w:rStyle w:val="Appelnotedebasdep"/>
        </w:rPr>
        <w:footnoteRef/>
      </w:r>
      <w:r>
        <w:t xml:space="preserve"> </w:t>
      </w:r>
      <w:r>
        <w:rPr>
          <w:rStyle w:val="author"/>
          <w:rFonts w:ascii="Georgia" w:hAnsi="Georgia"/>
          <w:color w:val="353C3F"/>
          <w:bdr w:val="none" w:sz="0" w:space="0" w:color="auto" w:frame="1"/>
          <w:shd w:val="clear" w:color="auto" w:fill="FFFFFF"/>
        </w:rPr>
        <w:t xml:space="preserve">Anderson, James, E., and Eric van </w:t>
      </w:r>
      <w:proofErr w:type="spellStart"/>
      <w:r>
        <w:rPr>
          <w:rStyle w:val="author"/>
          <w:rFonts w:ascii="Georgia" w:hAnsi="Georgia"/>
          <w:color w:val="353C3F"/>
          <w:bdr w:val="none" w:sz="0" w:space="0" w:color="auto" w:frame="1"/>
          <w:shd w:val="clear" w:color="auto" w:fill="FFFFFF"/>
        </w:rPr>
        <w:t>Wincoop</w:t>
      </w:r>
      <w:proofErr w:type="spellEnd"/>
      <w:r>
        <w:rPr>
          <w:rStyle w:val="author"/>
          <w:rFonts w:ascii="Georgia" w:hAnsi="Georgia"/>
          <w:color w:val="353C3F"/>
          <w:bdr w:val="none" w:sz="0" w:space="0" w:color="auto" w:frame="1"/>
          <w:shd w:val="clear" w:color="auto" w:fill="FFFFFF"/>
        </w:rPr>
        <w:t>. </w:t>
      </w:r>
      <w:r>
        <w:rPr>
          <w:rStyle w:val="year"/>
          <w:rFonts w:ascii="Georgia" w:hAnsi="Georgia"/>
          <w:color w:val="353C3F"/>
          <w:bdr w:val="none" w:sz="0" w:space="0" w:color="auto" w:frame="1"/>
          <w:shd w:val="clear" w:color="auto" w:fill="FFFFFF"/>
        </w:rPr>
        <w:t>2003.</w:t>
      </w:r>
      <w:r>
        <w:rPr>
          <w:rFonts w:ascii="Georgia" w:hAnsi="Georgia"/>
          <w:color w:val="353C3F"/>
          <w:shd w:val="clear" w:color="auto" w:fill="FFFFFF"/>
        </w:rPr>
        <w:t> </w:t>
      </w:r>
      <w:r>
        <w:rPr>
          <w:rStyle w:val="Titre10"/>
          <w:rFonts w:ascii="Georgia" w:hAnsi="Georgia"/>
          <w:color w:val="353C3F"/>
          <w:bdr w:val="none" w:sz="0" w:space="0" w:color="auto" w:frame="1"/>
          <w:shd w:val="clear" w:color="auto" w:fill="FFFFFF"/>
        </w:rPr>
        <w:t xml:space="preserve">"Gravity with Gravitas: A Solution to the Border </w:t>
      </w:r>
      <w:proofErr w:type="gramStart"/>
      <w:r>
        <w:rPr>
          <w:rStyle w:val="Titre10"/>
          <w:rFonts w:ascii="Georgia" w:hAnsi="Georgia"/>
          <w:color w:val="353C3F"/>
          <w:bdr w:val="none" w:sz="0" w:space="0" w:color="auto" w:frame="1"/>
          <w:shd w:val="clear" w:color="auto" w:fill="FFFFFF"/>
        </w:rPr>
        <w:t>Puzzle .</w:t>
      </w:r>
      <w:proofErr w:type="gramEnd"/>
      <w:r>
        <w:rPr>
          <w:rStyle w:val="Titre10"/>
          <w:rFonts w:ascii="Georgia" w:hAnsi="Georgia"/>
          <w:color w:val="353C3F"/>
          <w:bdr w:val="none" w:sz="0" w:space="0" w:color="auto" w:frame="1"/>
          <w:shd w:val="clear" w:color="auto" w:fill="FFFFFF"/>
        </w:rPr>
        <w:t>"</w:t>
      </w:r>
      <w:r>
        <w:rPr>
          <w:rFonts w:ascii="Georgia" w:hAnsi="Georgia"/>
          <w:color w:val="353C3F"/>
          <w:shd w:val="clear" w:color="auto" w:fill="FFFFFF"/>
        </w:rPr>
        <w:t> </w:t>
      </w:r>
      <w:r>
        <w:rPr>
          <w:rStyle w:val="journal"/>
          <w:rFonts w:ascii="Georgia" w:hAnsi="Georgia"/>
          <w:i/>
          <w:iCs/>
          <w:color w:val="353C3F"/>
          <w:bdr w:val="none" w:sz="0" w:space="0" w:color="auto" w:frame="1"/>
          <w:shd w:val="clear" w:color="auto" w:fill="FFFFFF"/>
        </w:rPr>
        <w:t>American Economic Review</w:t>
      </w:r>
      <w:r>
        <w:rPr>
          <w:rFonts w:ascii="Georgia" w:hAnsi="Georgia"/>
          <w:color w:val="353C3F"/>
          <w:shd w:val="clear" w:color="auto" w:fill="FFFFFF"/>
        </w:rPr>
        <w:t>, </w:t>
      </w:r>
      <w:r>
        <w:rPr>
          <w:rStyle w:val="vol"/>
          <w:rFonts w:ascii="Georgia" w:hAnsi="Georgia"/>
          <w:color w:val="353C3F"/>
          <w:bdr w:val="none" w:sz="0" w:space="0" w:color="auto" w:frame="1"/>
          <w:shd w:val="clear" w:color="auto" w:fill="FFFFFF"/>
        </w:rPr>
        <w:t>93(1): 170-192</w:t>
      </w:r>
      <w:r>
        <w:rPr>
          <w:rStyle w:val="pages"/>
          <w:rFonts w:ascii="inherit" w:hAnsi="inherit"/>
          <w:color w:val="353C3F"/>
          <w:bdr w:val="none" w:sz="0" w:space="0" w:color="auto" w:frame="1"/>
          <w:shd w:val="clear" w:color="auto" w:fill="FFFFFF"/>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44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465E1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272F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77634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F3"/>
    <w:rsid w:val="000247CE"/>
    <w:rsid w:val="000901E5"/>
    <w:rsid w:val="000C6E10"/>
    <w:rsid w:val="00147F33"/>
    <w:rsid w:val="001C0391"/>
    <w:rsid w:val="00352C35"/>
    <w:rsid w:val="00385E08"/>
    <w:rsid w:val="00457AAF"/>
    <w:rsid w:val="00457B74"/>
    <w:rsid w:val="004C198B"/>
    <w:rsid w:val="005219F6"/>
    <w:rsid w:val="005F57D8"/>
    <w:rsid w:val="00654A54"/>
    <w:rsid w:val="00677659"/>
    <w:rsid w:val="006902DB"/>
    <w:rsid w:val="007404FC"/>
    <w:rsid w:val="007624C0"/>
    <w:rsid w:val="00764142"/>
    <w:rsid w:val="007776F3"/>
    <w:rsid w:val="00822273"/>
    <w:rsid w:val="008A1B8E"/>
    <w:rsid w:val="00974E71"/>
    <w:rsid w:val="009E29AF"/>
    <w:rsid w:val="009F348F"/>
    <w:rsid w:val="00A404A1"/>
    <w:rsid w:val="00A81F0C"/>
    <w:rsid w:val="00A831F9"/>
    <w:rsid w:val="00A91FE8"/>
    <w:rsid w:val="00AC40F0"/>
    <w:rsid w:val="00AD1D2B"/>
    <w:rsid w:val="00C36154"/>
    <w:rsid w:val="00CE4C20"/>
    <w:rsid w:val="00D00112"/>
    <w:rsid w:val="00D9787E"/>
    <w:rsid w:val="00DA409B"/>
    <w:rsid w:val="00E027A8"/>
    <w:rsid w:val="00E262A8"/>
    <w:rsid w:val="00E36271"/>
    <w:rsid w:val="00E55E4B"/>
    <w:rsid w:val="00EA3C34"/>
    <w:rsid w:val="00ED345F"/>
    <w:rsid w:val="00F35459"/>
    <w:rsid w:val="00FA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55ACE-B340-4A70-92E2-22EAE26B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7B74"/>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457B74"/>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7B74"/>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457B74"/>
    <w:rPr>
      <w:rFonts w:asciiTheme="majorHAnsi" w:eastAsiaTheme="majorEastAsia" w:hAnsiTheme="majorHAnsi" w:cstheme="majorBidi"/>
      <w:color w:val="2E74B5" w:themeColor="accent1" w:themeShade="BF"/>
      <w:sz w:val="26"/>
      <w:szCs w:val="26"/>
      <w:lang w:val="fr-FR"/>
    </w:rPr>
  </w:style>
  <w:style w:type="paragraph" w:styleId="Notedebasdepage">
    <w:name w:val="footnote text"/>
    <w:basedOn w:val="Normal"/>
    <w:link w:val="NotedebasdepageCar"/>
    <w:uiPriority w:val="99"/>
    <w:semiHidden/>
    <w:unhideWhenUsed/>
    <w:rsid w:val="00457B7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7B74"/>
    <w:rPr>
      <w:sz w:val="20"/>
      <w:szCs w:val="20"/>
    </w:rPr>
  </w:style>
  <w:style w:type="character" w:styleId="Appelnotedebasdep">
    <w:name w:val="footnote reference"/>
    <w:basedOn w:val="Policepardfaut"/>
    <w:uiPriority w:val="99"/>
    <w:semiHidden/>
    <w:unhideWhenUsed/>
    <w:rsid w:val="00457B74"/>
    <w:rPr>
      <w:vertAlign w:val="superscript"/>
    </w:rPr>
  </w:style>
  <w:style w:type="character" w:customStyle="1" w:styleId="author">
    <w:name w:val="author"/>
    <w:basedOn w:val="Policepardfaut"/>
    <w:rsid w:val="00457B74"/>
  </w:style>
  <w:style w:type="character" w:customStyle="1" w:styleId="year">
    <w:name w:val="year"/>
    <w:basedOn w:val="Policepardfaut"/>
    <w:rsid w:val="00457B74"/>
  </w:style>
  <w:style w:type="character" w:customStyle="1" w:styleId="Titre10">
    <w:name w:val="Titre1"/>
    <w:basedOn w:val="Policepardfaut"/>
    <w:rsid w:val="00457B74"/>
  </w:style>
  <w:style w:type="character" w:customStyle="1" w:styleId="journal">
    <w:name w:val="journal"/>
    <w:basedOn w:val="Policepardfaut"/>
    <w:rsid w:val="00457B74"/>
  </w:style>
  <w:style w:type="character" w:customStyle="1" w:styleId="vol">
    <w:name w:val="vol"/>
    <w:basedOn w:val="Policepardfaut"/>
    <w:rsid w:val="00457B74"/>
  </w:style>
  <w:style w:type="character" w:customStyle="1" w:styleId="pages">
    <w:name w:val="pages"/>
    <w:basedOn w:val="Policepardfaut"/>
    <w:rsid w:val="00457B74"/>
  </w:style>
  <w:style w:type="paragraph" w:styleId="Titre">
    <w:name w:val="Title"/>
    <w:basedOn w:val="Normal"/>
    <w:next w:val="Normal"/>
    <w:link w:val="TitreCar"/>
    <w:uiPriority w:val="10"/>
    <w:qFormat/>
    <w:rsid w:val="00147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F33"/>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764142"/>
    <w:pPr>
      <w:spacing w:after="200" w:line="240" w:lineRule="auto"/>
    </w:pPr>
    <w:rPr>
      <w:i/>
      <w:iCs/>
      <w:color w:val="44546A" w:themeColor="text2"/>
      <w:sz w:val="18"/>
      <w:szCs w:val="18"/>
      <w:lang w:val="fr-FR"/>
    </w:rPr>
  </w:style>
  <w:style w:type="table" w:styleId="Tableausimple2">
    <w:name w:val="Plain Table 2"/>
    <w:basedOn w:val="TableauNormal"/>
    <w:uiPriority w:val="42"/>
    <w:rsid w:val="00764142"/>
    <w:pPr>
      <w:spacing w:after="0" w:line="240" w:lineRule="auto"/>
    </w:pPr>
    <w:rPr>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521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Rob01</b:Tag>
    <b:SourceType>JournalArticle</b:SourceType>
    <b:Guid>{70A86487-8F11-4EFA-8A74-9A63483A9638}</b:Guid>
    <b:Title>Economic obstacles to expanding intra-african trade</b:Title>
    <b:Year>2004</b:Year>
    <b:Month>August</b:Month>
    <b:Author>
      <b:Author>
        <b:NameList>
          <b:Person>
            <b:Last>Longo</b:Last>
            <b:First>Roberto</b:First>
          </b:Person>
          <b:Person>
            <b:Last>Sekkat</b:Last>
            <b:First>Khalid</b:First>
          </b:Person>
        </b:NameList>
      </b:Author>
    </b:Author>
    <b:JournalName>World Development</b:JournalName>
    <b:PublicationTitle>Working Paper No. 169</b:PublicationTitle>
    <b:Pages>1309–1321</b:Pages>
    <b:Volume>32</b:Volume>
    <b:Issue>8</b:Issue>
    <b:RefOrder>4</b:RefOrder>
  </b:Source>
</b:Sources>
</file>

<file path=customXml/itemProps1.xml><?xml version="1.0" encoding="utf-8"?>
<ds:datastoreItem xmlns:ds="http://schemas.openxmlformats.org/officeDocument/2006/customXml" ds:itemID="{EA99C75D-81D6-4289-8D36-B99D6171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5419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DOUKOURE CHARLES</dc:creator>
  <cp:keywords/>
  <dc:description/>
  <cp:lastModifiedBy>DOUKOURE CHARLES</cp:lastModifiedBy>
  <cp:revision>2</cp:revision>
  <dcterms:created xsi:type="dcterms:W3CDTF">2018-03-23T23:37:00Z</dcterms:created>
  <dcterms:modified xsi:type="dcterms:W3CDTF">2018-03-23T23:37:00Z</dcterms:modified>
</cp:coreProperties>
</file>