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Applicant Help Centre Requirements</w:t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283.46456692913387" w:right="437.6692913385841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This doc only covers the requirements and implementation-related information for the new applicant help centre to go along with the webapp.</w:t>
            </w:r>
          </w:p>
          <w:p w:rsidR="00000000" w:rsidDel="00000000" w:rsidP="00000000" w:rsidRDefault="00000000" w:rsidRPr="00000000" w14:paraId="00000003">
            <w:pPr>
              <w:ind w:left="283.46456692913387" w:right="437.6692913385841" w:firstLine="0"/>
              <w:rPr/>
            </w:pPr>
            <w:r w:rsidDel="00000000" w:rsidR="00000000" w:rsidRPr="00000000">
              <w:rPr>
                <w:rtl w:val="0"/>
              </w:rPr>
              <w:t xml:space="preserve">For the actual content that is going to be published on the help centre, refer to the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Applicant help centre content</w:t>
              </w:r>
            </w:hyperlink>
            <w:r w:rsidDel="00000000" w:rsidR="00000000" w:rsidRPr="00000000">
              <w:rPr>
                <w:rtl w:val="0"/>
              </w:rPr>
              <w:t xml:space="preserve"> doc.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3"/>
        <w:ind w:left="0" w:firstLine="0"/>
        <w:rPr/>
      </w:pPr>
      <w:bookmarkStart w:colFirst="0" w:colLast="0" w:name="_yb8cs2dkxrkc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help centre should help applicants: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Understand the application process.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high quality answers to questions on the form.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DPGA review policies.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The help centre should not include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topics or information that does not help an applicant achieve the items mentioned above.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Redundant content that is already covered on the application form.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/>
      </w:pPr>
      <w:bookmarkStart w:colFirst="0" w:colLast="0" w:name="_703twkvvvyqr" w:id="1"/>
      <w:bookmarkEnd w:id="1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To be built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https://docusaurus.io/</w:t>
        </w:r>
      </w:hyperlink>
      <w:r w:rsidDel="00000000" w:rsidR="00000000" w:rsidRPr="00000000">
        <w:rPr>
          <w:rtl w:val="0"/>
        </w:rPr>
        <w:t xml:space="preserve">. It would look like this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https://unicef.github.io/publicgoods-accelerator-guide/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To be built by DPGA’s technical team.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Domain: to be decided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color w:val="434343"/>
        <w:sz w:val="22"/>
        <w:szCs w:val="22"/>
        <w:lang w:val="en_GB"/>
      </w:rPr>
    </w:rPrDefault>
    <w:pPrDefault>
      <w:pPr>
        <w:spacing w:after="200" w:before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Inter" w:cs="Inter" w:eastAsia="Inter" w:hAnsi="Inter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R6_eMCIj4zUDmMxrdMgYfnSm1rjkQYsKZUSbaF9FqQ/edit#" TargetMode="External"/><Relationship Id="rId7" Type="http://schemas.openxmlformats.org/officeDocument/2006/relationships/hyperlink" Target="https://docusaurus.io/" TargetMode="External"/><Relationship Id="rId8" Type="http://schemas.openxmlformats.org/officeDocument/2006/relationships/hyperlink" Target="https://unicef.github.io/publicgoods-accelerator-gui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