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$450 Question — GIS Spend Decision, Wilson County and Statewide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Cs/>
          <w:b/>
        </w:rPr>
        <w:t xml:space="preserve">Recommendation: do not buy the six Wilson County GIS layers. Not now, and probably not ever.</w:t>
      </w:r>
      <w:r>
        <w:t xml:space="preserve"> </w:t>
      </w:r>
      <w:r>
        <w:t xml:space="preserve">The prototype in this repository was built without them, from free public sources, and it produced a</w:t>
      </w:r>
      <w:r>
        <w:t xml:space="preserve"> </w:t>
      </w:r>
      <w:r>
        <w:t xml:space="preserve">placed rooftop for all 88,196 addresses in Wilson County and a 1,215-row business exception queue.</w:t>
      </w:r>
      <w:r>
        <w:t xml:space="preserve"> </w:t>
      </w:r>
      <w:r>
        <w:t xml:space="preserve">Total data acquisition cost:</w:t>
      </w:r>
      <w:r>
        <w:t xml:space="preserve"> </w:t>
      </w:r>
      <w:r>
        <w:rPr>
          <w:bCs/>
          <w:b/>
        </w:rPr>
        <w:t xml:space="preserve">$0.00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X5822abfc2a4deca538ab2f739a891fb4fcdaaee"/>
    <w:p>
      <w:pPr>
        <w:pStyle w:val="Heading2"/>
      </w:pPr>
      <w:r>
        <w:t xml:space="preserve">1. What was proposed, and what it would actually have bought</w:t>
      </w:r>
    </w:p>
    <w:p>
      <w:pPr>
        <w:pStyle w:val="FirstParagraph"/>
      </w:pPr>
      <w:r>
        <w:t xml:space="preserve">The six-layer plan was Parcels, Address Points, Road Centerlines, and the three city-limit files, at</w:t>
      </w:r>
      <w:r>
        <w:t xml:space="preserve"> </w:t>
      </w:r>
      <w:r>
        <w:t xml:space="preserve">$75 each. Set against what is published free: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Proposed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equivalent actually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 NG911 Address Points</w:t>
            </w:r>
            <w:r>
              <w:t xml:space="preserve"> </w:t>
            </w:r>
            <w:r>
              <w:t xml:space="preserve">(TN Emergency Communications Board), 88,240 Wilson records, monthly refresh —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Wilson County’s own E-911 district publishes 88,295 address points publicly on ArcGIS Online with Extract enabled, last edited 8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version is</w:t>
            </w:r>
            <w:r>
              <w:t xml:space="preserve"> </w:t>
            </w:r>
            <w:r>
              <w:rPr>
                <w:bCs/>
                <w:b/>
              </w:rPr>
              <w:t xml:space="preserve">better</w:t>
            </w:r>
            <w:r>
              <w:t xml:space="preserve">: it carries</w:t>
            </w:r>
            <w:r>
              <w:t xml:space="preserve"> </w:t>
            </w:r>
            <w:r>
              <w:rPr>
                <w:rStyle w:val="VerbatimChar"/>
              </w:rPr>
              <w:t xml:space="preserve">Inc_Muni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Post_City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Census_Plc</w:t>
            </w:r>
            <w:r>
              <w:t xml:space="preserve"> </w:t>
            </w:r>
            <w:r>
              <w:t xml:space="preserve">on the same record, which is the exact three-way distinction the audit turns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 Centerlines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NG911 Road Centerlines, monthly; Wilson E-911 street centerlines,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Lebanon / Mt. Juliet / Watertown city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 Comptroller, Office of Local Government</w:t>
            </w:r>
            <w:r>
              <w:t xml:space="preserve"> </w:t>
            </w:r>
            <w:r>
              <w:t xml:space="preserve">— all 345 Tennessee municipalities, aggregated monthly from local assessors,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version is</w:t>
            </w:r>
            <w:r>
              <w:t xml:space="preserve"> </w:t>
            </w:r>
            <w:r>
              <w:rPr>
                <w:bCs/>
                <w:b/>
              </w:rPr>
              <w:t xml:space="preserve">better</w:t>
            </w:r>
            <w:r>
              <w:t xml:space="preserve">: statewide, monthly, and carries per-feature currency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Comptroller statewide parcel shapefiles, weekly, free for 86 of 95 counties (Wilson included), with an</w:t>
            </w:r>
            <w:r>
              <w:t xml:space="preserve"> </w:t>
            </w:r>
            <w:r>
              <w:rPr>
                <w:rStyle w:val="VerbatimChar"/>
              </w:rPr>
              <w:t xml:space="preserve">Assessment_Data</w:t>
            </w:r>
            <w:r>
              <w:t xml:space="preserve"> </w:t>
            </w:r>
            <w:r>
              <w:t xml:space="preserve">table joinable on</w:t>
            </w:r>
            <w:r>
              <w:t xml:space="preserve"> </w:t>
            </w:r>
            <w:r>
              <w:rPr>
                <w:rStyle w:val="VerbatimChar"/>
              </w:rPr>
              <w:t xml:space="preserve">GISLINK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Equivalent, plus assessment attributes the county layer may not include</w:t>
            </w:r>
          </w:p>
        </w:tc>
      </w:tr>
    </w:tbl>
    <w:p>
      <w:pPr>
        <w:pStyle w:val="BodyText"/>
      </w:pPr>
      <w:r>
        <w:rPr>
          <w:bCs/>
          <w:b/>
        </w:rPr>
        <w:t xml:space="preserve">Wilson County is selling three layers its own 911 district already gives away, and three the State</w:t>
      </w:r>
      <w:r>
        <w:rPr>
          <w:bCs/>
          <w:b/>
        </w:rPr>
        <w:t xml:space="preserve"> </w:t>
      </w:r>
      <w:r>
        <w:rPr>
          <w:bCs/>
          <w:b/>
        </w:rPr>
        <w:t xml:space="preserve">of Tennessee publishes for every county in the state.</w:t>
      </w:r>
      <w:r>
        <w:t xml:space="preserve"> </w:t>
      </w:r>
      <w:r>
        <w:t xml:space="preserve">That is not a criticism of the county — it is</w:t>
      </w:r>
      <w:r>
        <w:t xml:space="preserve"> </w:t>
      </w:r>
      <w:r>
        <w:t xml:space="preserve">a normal artifact of GIS cost-recovery policy written before open data portals existed.</w:t>
      </w:r>
    </w:p>
    <w:bookmarkStart w:id="20" w:name="X6494d93dc83faed57c0dc3ca3fa871a3506955d"/>
    <w:p>
      <w:pPr>
        <w:pStyle w:val="Heading3"/>
      </w:pPr>
      <w:r>
        <w:t xml:space="preserve">One important correction to the earlier plan</w:t>
      </w:r>
    </w:p>
    <w:p>
      <w:pPr>
        <w:pStyle w:val="FirstParagraph"/>
      </w:pPr>
      <w:r>
        <w:t xml:space="preserve">The earlier draft pointed at the TNMap</w:t>
      </w:r>
      <w:r>
        <w:t xml:space="preserve"> </w:t>
      </w:r>
      <w:r>
        <w:rPr>
          <w:rStyle w:val="VerbatimChar"/>
        </w:rPr>
        <w:t xml:space="preserve">ADMINISTRATIVE_BOUNDARIES</w:t>
      </w:r>
      <w:r>
        <w:t xml:space="preserve"> </w:t>
      </w:r>
      <w:r>
        <w:t xml:space="preserve">city layer as the comparison</w:t>
      </w:r>
      <w:r>
        <w:t xml:space="preserve"> </w:t>
      </w:r>
      <w:r>
        <w:t xml:space="preserve">boundary.</w:t>
      </w:r>
      <w:r>
        <w:t xml:space="preserve"> </w:t>
      </w:r>
      <w:r>
        <w:rPr>
          <w:bCs/>
          <w:b/>
        </w:rPr>
        <w:t xml:space="preserve">Do not use it.</w:t>
      </w:r>
      <w:r>
        <w:t xml:space="preserve"> </w:t>
      </w:r>
      <w:r>
        <w:t xml:space="preserve">Its own metadata dates the product to</w:t>
      </w:r>
      <w:r>
        <w:t xml:space="preserve"> </w:t>
      </w:r>
      <w:r>
        <w:rPr>
          <w:bCs/>
          <w:b/>
        </w:rPr>
        <w:t xml:space="preserve">June 2017</w:t>
      </w:r>
      <w:r>
        <w:t xml:space="preserve">, which would miss</w:t>
      </w:r>
      <w:r>
        <w:t xml:space="preserve"> </w:t>
      </w:r>
      <w:r>
        <w:t xml:space="preserve">every annexation in the last nine years — and Mt. Juliet has annexed aggressively over exactly that</w:t>
      </w:r>
      <w:r>
        <w:t xml:space="preserve"> </w:t>
      </w:r>
      <w:r>
        <w:t xml:space="preserve">period. Use the Comptroller’s SST</w:t>
      </w:r>
      <w:r>
        <w:t xml:space="preserve"> </w:t>
      </w:r>
      <w:r>
        <w:rPr>
          <w:rStyle w:val="VerbatimChar"/>
        </w:rPr>
        <w:t xml:space="preserve">Cities</w:t>
      </w:r>
      <w:r>
        <w:t xml:space="preserve"> </w:t>
      </w:r>
      <w:r>
        <w:t xml:space="preserve">layer instead, which is aggregated monthly and carries</w:t>
      </w:r>
      <w:r>
        <w:t xml:space="preserve"> </w:t>
      </w:r>
      <w:r>
        <w:rPr>
          <w:rStyle w:val="VerbatimChar"/>
        </w:rPr>
        <w:t xml:space="preserve">TDOT_DATE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OIR_DATE</w:t>
      </w:r>
      <w:r>
        <w:t xml:space="preserve"> </w:t>
      </w:r>
      <w:r>
        <w:t xml:space="preserve">per feature. This prototype uses the latter.</w:t>
      </w:r>
    </w:p>
    <w:bookmarkEnd w:id="20"/>
    <w:bookmarkStart w:id="21" w:name="the-layer-nobody-thought-to-ask-for"/>
    <w:p>
      <w:pPr>
        <w:pStyle w:val="Heading3"/>
      </w:pPr>
      <w:r>
        <w:t xml:space="preserve">The layer nobody thought to ask for</w:t>
      </w:r>
    </w:p>
    <w:p>
      <w:pPr>
        <w:pStyle w:val="FirstParagraph"/>
      </w:pPr>
      <w:r>
        <w:rPr>
          <w:bCs/>
          <w:b/>
        </w:rPr>
        <w:t xml:space="preserve">Mt. Juliet publishes 221 dated annexation polygons, free.</w:t>
      </w:r>
      <w:r>
        <w:t xml:space="preserve"> </w:t>
      </w:r>
      <w:r>
        <w:t xml:space="preserve">Nothing at state or federal level</w:t>
      </w:r>
      <w:r>
        <w:t xml:space="preserve"> </w:t>
      </w:r>
      <w:r>
        <w:t xml:space="preserve">captures annexation history, and annexation is the single most common cause of a stale situs</w:t>
      </w:r>
      <w:r>
        <w:t xml:space="preserve"> </w:t>
      </w:r>
      <w:r>
        <w:t xml:space="preserve">assignment. This layer found 1,004 Wilson rooftops inside a Mt. Juliet annexation that the</w:t>
      </w:r>
      <w:r>
        <w:t xml:space="preserve"> </w:t>
      </w:r>
      <w:r>
        <w:t xml:space="preserve">Department’s tax polygon does not code to Mt. Juliet. It was not on the $450 list, and it is worth</w:t>
      </w:r>
      <w:r>
        <w:t xml:space="preserve"> </w:t>
      </w:r>
      <w:r>
        <w:t xml:space="preserve">more than anything that was.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703a73f64d4b382b7dfb4f6a200fd4a4427cfef"/>
    <w:p>
      <w:pPr>
        <w:pStyle w:val="Heading2"/>
      </w:pPr>
      <w:r>
        <w:t xml:space="preserve">2. If you ever do pay, know these two things first</w:t>
      </w:r>
    </w:p>
    <w:p>
      <w:pPr>
        <w:pStyle w:val="FirstParagraph"/>
      </w:pPr>
      <w:r>
        <w:rPr>
          <w:bCs/>
          <w:b/>
        </w:rPr>
        <w:t xml:space="preserve">(a) A $75-per-layer price is legally defensible — attacking the fee is a losing argument.</w:t>
      </w:r>
      <w:r>
        <w:t xml:space="preserve"> </w:t>
      </w:r>
      <w:r>
        <w:t xml:space="preserve">T.C.A. § 10-7-506(c) expressly lets a political subdivision charge development-cost recovery for</w:t>
      </w:r>
      <w:r>
        <w:t xml:space="preserve"> </w:t>
      </w:r>
      <w:r>
        <w:t xml:space="preserve">“</w:t>
      </w:r>
      <w:r>
        <w:t xml:space="preserve">a computer generated map or other similar geographic data developed with public funds</w:t>
      </w:r>
      <w:r>
        <w:t xml:space="preserve">”</w:t>
      </w:r>
      <w:r>
        <w:t xml:space="preserve"> </w:t>
      </w:r>
      <w:r>
        <w:t xml:space="preserve">when the</w:t>
      </w:r>
      <w:r>
        <w:t xml:space="preserve"> </w:t>
      </w:r>
      <w:r>
        <w:t xml:space="preserve">request</w:t>
      </w:r>
      <w:r>
        <w:t xml:space="preserve"> </w:t>
      </w:r>
      <w:r>
        <w:t xml:space="preserve">“</w:t>
      </w:r>
      <w:r>
        <w:t xml:space="preserve">has commercial value,</w:t>
      </w:r>
      <w:r>
        <w:t xml:space="preserve">”</w:t>
      </w:r>
      <w:r>
        <w:t xml:space="preserve"> </w:t>
      </w:r>
      <w:r>
        <w:t xml:space="preserve">which a request from a business is by definition. GIS is the one</w:t>
      </w:r>
      <w:r>
        <w:t xml:space="preserve"> </w:t>
      </w:r>
      <w:r>
        <w:t xml:space="preserve">record type where Tennessee permits this. The Office of Open Records Counsel’s Schedule of</w:t>
      </w:r>
      <w:r>
        <w:t xml:space="preserve"> </w:t>
      </w:r>
      <w:r>
        <w:t xml:space="preserve">Reasonable Charges does not cap it. Do not send a records request expecting to get the data for the</w:t>
      </w:r>
      <w:r>
        <w:t xml:space="preserve"> </w:t>
      </w:r>
      <w:r>
        <w:t xml:space="preserve">cost of a CD.</w:t>
      </w:r>
    </w:p>
    <w:p>
      <w:pPr>
        <w:pStyle w:val="BodyText"/>
      </w:pPr>
      <w:r>
        <w:rPr>
          <w:bCs/>
          <w:b/>
        </w:rPr>
        <w:t xml:space="preserve">(b) But the county cannot make you sign a licence.</w:t>
      </w:r>
      <w:r>
        <w:t xml:space="preserve"> </w:t>
      </w:r>
      <w:r>
        <w:t xml:space="preserve">OORC Advisory Opinion 09-02 (the Memphis Daily News / KGIS opinion) holds that a GIS custodian</w:t>
      </w:r>
      <w:r>
        <w:t xml:space="preserve"> </w:t>
      </w:r>
      <w:r>
        <w:t xml:space="preserve">“</w:t>
      </w:r>
      <w:r>
        <w:t xml:space="preserve">cannot require a requestor to complete and sign a licensing agreement as a condition to acquiring</w:t>
      </w:r>
      <w:r>
        <w:t xml:space="preserve"> </w:t>
      </w:r>
      <w:r>
        <w:t xml:space="preserve">particular GIS data,</w:t>
      </w:r>
      <w:r>
        <w:t xml:space="preserve">”</w:t>
      </w:r>
      <w:r>
        <w:t xml:space="preserve"> </w:t>
      </w:r>
      <w:r>
        <w:t xml:space="preserve">because Tennessee law does not authorize it.</w:t>
      </w:r>
      <w:r>
        <w:t xml:space="preserve"> </w:t>
      </w:r>
      <w:r>
        <w:rPr>
          <w:bCs/>
          <w:b/>
        </w:rPr>
        <w:t xml:space="preserve">This converts a recurring annual</w:t>
      </w:r>
      <w:r>
        <w:rPr>
          <w:bCs/>
          <w:b/>
        </w:rPr>
        <w:t xml:space="preserve"> </w:t>
      </w:r>
      <w:r>
        <w:rPr>
          <w:bCs/>
          <w:b/>
        </w:rPr>
        <w:t xml:space="preserve">licence into a one-time purchase</w:t>
      </w:r>
      <w:r>
        <w:t xml:space="preserve">, and it is the single most valuable fact in the fee analysis. It</w:t>
      </w:r>
      <w:r>
        <w:t xml:space="preserve"> </w:t>
      </w:r>
      <w:r>
        <w:t xml:space="preserve">is an advisory opinion from 2009, not binding precedent, so treat it as persuasive rather than</w:t>
      </w:r>
      <w:r>
        <w:t xml:space="preserve"> </w:t>
      </w:r>
      <w:r>
        <w:t xml:space="preserve">settled — but it is the right thing to cite.</w:t>
      </w:r>
    </w:p>
    <w:p>
      <w:pPr>
        <w:pStyle w:val="BodyText"/>
      </w:pPr>
      <w:r>
        <w:rPr>
          <w:bCs/>
          <w:b/>
        </w:rPr>
        <w:t xml:space="preserve">(c) A procedural trap worth knowing before the first request goes out.</w:t>
      </w:r>
      <w:r>
        <w:t xml:space="preserve"> </w:t>
      </w:r>
      <w:r>
        <w:t xml:space="preserve">OORC Advisory Opinion 15-01: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term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citizen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does not include corporations.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Civvix Inc. has</w:t>
      </w:r>
      <w:r>
        <w:rPr>
          <w:bCs/>
          <w:b/>
        </w:rPr>
        <w:t xml:space="preserve"> </w:t>
      </w:r>
      <w:r>
        <w:rPr>
          <w:bCs/>
          <w:b/>
        </w:rPr>
        <w:t xml:space="preserve">no standing under the Tennessee Public Records Act, and being incorporated in Tennessee does not</w:t>
      </w:r>
      <w:r>
        <w:rPr>
          <w:bCs/>
          <w:b/>
        </w:rPr>
        <w:t xml:space="preserve"> </w:t>
      </w:r>
      <w:r>
        <w:rPr>
          <w:bCs/>
          <w:b/>
        </w:rPr>
        <w:t xml:space="preserve">cure it.</w:t>
      </w:r>
      <w:r>
        <w:t xml:space="preserve"> </w:t>
      </w:r>
      <w:r>
        <w:t xml:space="preserve">Every TPRA request must go out in the name of a named Tennessee-resident individual who</w:t>
      </w:r>
      <w:r>
        <w:t xml:space="preserve"> </w:t>
      </w:r>
      <w:r>
        <w:t xml:space="preserve">can produce a Tennessee photo ID — not on Civvix letterhead. Getting this wrong hands any county a</w:t>
      </w:r>
      <w:r>
        <w:t xml:space="preserve"> </w:t>
      </w:r>
      <w:r>
        <w:t xml:space="preserve">clean, correct basis to refuse. It is a paperwork detail with a 100% failure rate if missed.</w:t>
      </w:r>
    </w:p>
    <w:p>
      <w:r>
        <w:pict>
          <v:rect style="width:0;height:1.5pt" o:hralign="center" o:hrstd="t" o:hr="t"/>
        </w:pict>
      </w:r>
    </w:p>
    <w:bookmarkEnd w:id="23"/>
    <w:bookmarkStart w:id="24" w:name="X304378cbf08fdbdc771fc5f7af69d0c7a62b34c"/>
    <w:p>
      <w:pPr>
        <w:pStyle w:val="Heading2"/>
      </w:pPr>
      <w:r>
        <w:t xml:space="preserve">3. The better lever: make it a contract term, not a purchase</w:t>
      </w:r>
    </w:p>
    <w:p>
      <w:pPr>
        <w:pStyle w:val="FirstParagraph"/>
      </w:pPr>
      <w:r>
        <w:t xml:space="preserve">When the county is the client, there is no requester and no request — a county GIS department</w:t>
      </w:r>
      <w:r>
        <w:t xml:space="preserve"> </w:t>
      </w:r>
      <w:r>
        <w:t xml:space="preserve">handing data to the county finance department for county work is internal data sharing, and</w:t>
      </w:r>
      <w:r>
        <w:t xml:space="preserve"> </w:t>
      </w:r>
      <w:r>
        <w:t xml:space="preserve">§ 10-7-506(c) has no purchase on it. The fee provision is permissive (*</w:t>
      </w:r>
      <w:r>
        <w:t xml:space="preserve">“</w:t>
      </w:r>
      <w:r>
        <w:t xml:space="preserve">may* establish and impose</w:t>
      </w:r>
      <w:r>
        <w:t xml:space="preserve">”</w:t>
      </w:r>
      <w:r>
        <w:t xml:space="preserve">),</w:t>
      </w:r>
      <w:r>
        <w:t xml:space="preserve"> </w:t>
      </w:r>
      <w:r>
        <w:t xml:space="preserve">and the cost-recovery rationale collapses anyway: charging the county $450 to generate revenue for</w:t>
      </w:r>
      <w:r>
        <w:t xml:space="preserve"> </w:t>
      </w:r>
      <w:r>
        <w:t xml:space="preserve">the same county moves money between its own funds.</w:t>
      </w:r>
    </w:p>
    <w:p>
      <w:pPr>
        <w:pStyle w:val="BodyText"/>
      </w:pPr>
      <w:r>
        <w:rPr>
          <w:bCs/>
          <w:b/>
        </w:rPr>
        <w:t xml:space="preserve">Put this in every engagement letter:</w:t>
      </w:r>
    </w:p>
    <w:p>
      <w:pPr>
        <w:pStyle w:val="BlockText"/>
      </w:pPr>
      <w:r>
        <w:rPr>
          <w:iCs/>
          <w:i/>
        </w:rPr>
        <w:t xml:space="preserve">The County shall furnish to the Consultant, at no cost, the geographic information system layers</w:t>
      </w:r>
      <w:r>
        <w:rPr>
          <w:iCs/>
          <w:i/>
        </w:rPr>
        <w:t xml:space="preserve"> </w:t>
      </w:r>
      <w:r>
        <w:rPr>
          <w:iCs/>
          <w:i/>
        </w:rPr>
        <w:t xml:space="preserve">reasonably necessary to perform the Services, including parcel geometry, address points, road</w:t>
      </w:r>
      <w:r>
        <w:rPr>
          <w:iCs/>
          <w:i/>
        </w:rPr>
        <w:t xml:space="preserve"> </w:t>
      </w:r>
      <w:r>
        <w:rPr>
          <w:iCs/>
          <w:i/>
        </w:rPr>
        <w:t xml:space="preserve">centerlines and certified municipal boundaries, in a machine-readable format, together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coordinate reference system, effective date and any adopted boundary changes not yet reflected in</w:t>
      </w:r>
      <w:r>
        <w:rPr>
          <w:iCs/>
          <w:i/>
        </w:rPr>
        <w:t xml:space="preserve"> </w:t>
      </w:r>
      <w:r>
        <w:rPr>
          <w:iCs/>
          <w:i/>
        </w:rPr>
        <w:t xml:space="preserve">the delivered geometry.</w:t>
      </w:r>
    </w:p>
    <w:p>
      <w:pPr>
        <w:pStyle w:val="FirstParagraph"/>
      </w:pPr>
      <w:r>
        <w:t xml:space="preserve">This is the cheapest lever in the entire analysis. It sidesteps the fee and the TPRA standing</w:t>
      </w:r>
      <w:r>
        <w:t xml:space="preserve"> </w:t>
      </w:r>
      <w:r>
        <w:t xml:space="preserve">problem at once. It fails only where the county’s GIS is a separate legal entity with its own budget</w:t>
      </w:r>
      <w:r>
        <w:t xml:space="preserve"> </w:t>
      </w:r>
      <w:r>
        <w:t xml:space="preserve">— which is exactly Knox County (KGIS is a joint Knoxville / Knox County / KUB body) and plausibly</w:t>
      </w:r>
      <w:r>
        <w:t xml:space="preserve"> </w:t>
      </w:r>
      <w:r>
        <w:t xml:space="preserve">Shelby (ReGIS).</w:t>
      </w:r>
    </w:p>
    <w:p>
      <w:r>
        <w:pict>
          <v:rect style="width:0;height:1.5pt" o:hralign="center" o:hrstd="t" o:hr="t"/>
        </w:pict>
      </w:r>
    </w:p>
    <w:bookmarkEnd w:id="24"/>
    <w:bookmarkStart w:id="27" w:name="the-95-county-answer"/>
    <w:p>
      <w:pPr>
        <w:pStyle w:val="Heading2"/>
      </w:pPr>
      <w:r>
        <w:t xml:space="preserve">4. The 95-county answer</w:t>
      </w:r>
    </w:p>
    <w:p>
      <w:pPr>
        <w:pStyle w:val="FirstParagraph"/>
      </w:pPr>
      <w:r>
        <w:rPr>
          <w:bCs/>
          <w:b/>
        </w:rPr>
        <w:t xml:space="preserve">Per-county GIS purchase is an avoidable cost, not a necessary recurring one.</w:t>
      </w:r>
      <w:r>
        <w:t xml:space="preserve"> </w:t>
      </w:r>
      <w:r>
        <w:t xml:space="preserve">Three findings</w:t>
      </w:r>
      <w:r>
        <w:t xml:space="preserve"> </w:t>
      </w:r>
      <w:r>
        <w:t xml:space="preserve">carry that: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situs-critical layer is statewide and free.</w:t>
      </w:r>
      <w:r>
        <w:t xml:space="preserve"> </w:t>
      </w:r>
      <w:r>
        <w:t xml:space="preserve">The Comptroller publishes municipal</w:t>
      </w:r>
      <w:r>
        <w:t xml:space="preserve"> </w:t>
      </w:r>
      <w:r>
        <w:t xml:space="preserve">boundaries for all 345 Tennessee cities, with annexations and deannexations reported since 2016,</w:t>
      </w:r>
      <w:r>
        <w:t xml:space="preserve"> </w:t>
      </w:r>
      <w:r>
        <w:t xml:space="preserve">launched as a public dashboard in December 2025.</w:t>
      </w:r>
      <w:r>
        <w:t xml:space="preserve"> </w:t>
      </w:r>
      <w:r>
        <w:rPr>
          <w:bCs/>
          <w:b/>
        </w:rPr>
        <w:t xml:space="preserve">No county exclusions at all.</w:t>
      </w:r>
      <w:r>
        <w:t xml:space="preserve"> </w:t>
      </w:r>
      <w:r>
        <w:t xml:space="preserve">For a sales-tax</w:t>
      </w:r>
      <w:r>
        <w:t xml:space="preserve"> </w:t>
      </w:r>
      <w:r>
        <w:t xml:space="preserve">situs audit the boundary layer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product; parcels are supporting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parcel exclusion list is not a paywall.</w:t>
      </w:r>
      <w:r>
        <w:t xml:space="preserve"> </w:t>
      </w:r>
      <w:r>
        <w:t xml:space="preserve">The Comptroller’s free weekly parcel feed covers</w:t>
      </w:r>
      <w:r>
        <w:t xml:space="preserve"> </w:t>
      </w:r>
      <w:r>
        <w:t xml:space="preserve">every county except Chester, Davidson, Hamilton, Hickman, Knox, Montgomery, Rutherford, Shelby</w:t>
      </w:r>
      <w:r>
        <w:t xml:space="preserve"> </w:t>
      </w:r>
      <w:r>
        <w:t xml:space="preserve">and Williamson. Of those nine: Davidson publishes parcels free; Montgomery publishes a free public</w:t>
      </w:r>
      <w:r>
        <w:t xml:space="preserve"> </w:t>
      </w:r>
      <w:r>
        <w:t xml:space="preserve">parcel MapServer; Rutherford runs a free CC0 data hub; the City of Chattanooga gives away parcels</w:t>
      </w:r>
      <w:r>
        <w:t xml:space="preserve"> </w:t>
      </w:r>
      <w:r>
        <w:t xml:space="preserve">and city limits inside Hamilton; Shelby County 911 gives away address points and centerlines.</w:t>
      </w:r>
      <w:r>
        <w:t xml:space="preserve"> </w:t>
      </w:r>
      <w:r>
        <w:t xml:space="preserve">Chester and Hickman are small rural counties with no GIS shop to charge you.</w:t>
      </w:r>
      <w:r>
        <w:t xml:space="preserve"> </w:t>
      </w:r>
      <w:r>
        <w:rPr>
          <w:bCs/>
          <w:b/>
        </w:rPr>
        <w:t xml:space="preserve">The genuinely hard</w:t>
      </w:r>
      <w:r>
        <w:rPr>
          <w:bCs/>
          <w:b/>
        </w:rPr>
        <w:t xml:space="preserve"> </w:t>
      </w:r>
      <w:r>
        <w:rPr>
          <w:bCs/>
          <w:b/>
        </w:rPr>
        <w:t xml:space="preserve">cases are Knox, Williamson, and countywide parcels in Shelby and Hamilton — three or four</w:t>
      </w:r>
      <w:r>
        <w:rPr>
          <w:bCs/>
          <w:b/>
        </w:rPr>
        <w:t xml:space="preserve"> </w:t>
      </w:r>
      <w:r>
        <w:rPr>
          <w:bCs/>
          <w:b/>
        </w:rPr>
        <w:t xml:space="preserve">counties, not nine.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Most Tennessee counties have nothing to sell.</w:t>
      </w:r>
      <w:r>
        <w:t xml:space="preserve"> </w:t>
      </w:r>
      <w:r>
        <w:t xml:space="preserve">A survey of small and mid-size counties (Maury,</w:t>
      </w:r>
      <w:r>
        <w:t xml:space="preserve"> </w:t>
      </w:r>
      <w:r>
        <w:t xml:space="preserve">Robertson, Trousdale, Smith, DeKalb, Macon, Cannon, Grundy) found no county GIS storefront at</w:t>
      </w:r>
      <w:r>
        <w:t xml:space="preserve"> </w:t>
      </w:r>
      <w:r>
        <w:t xml:space="preserve">all. The $75-per-layer model exists only in the minority that built GIS with local funds.</w:t>
      </w:r>
    </w:p>
    <w:bookmarkStart w:id="25" w:name="the-decision-rule"/>
    <w:p>
      <w:pPr>
        <w:pStyle w:val="Heading3"/>
      </w:pPr>
      <w:r>
        <w:t xml:space="preserve">The decision rule</w:t>
      </w:r>
    </w:p>
    <w:p>
      <w:pPr>
        <w:pStyle w:val="FirstParagraph"/>
      </w:pPr>
      <w:r>
        <w:t xml:space="preserve">Buy a county GIS layer only when</w:t>
      </w:r>
      <w:r>
        <w:t xml:space="preserve"> </w:t>
      </w:r>
      <w:r>
        <w:rPr>
          <w:bCs/>
          <w:b/>
        </w:rPr>
        <w:t xml:space="preserve">all three</w:t>
      </w:r>
      <w:r>
        <w:t xml:space="preserve"> </w:t>
      </w:r>
      <w:r>
        <w:t xml:space="preserve">hold: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is not obtainable free.</w:t>
      </w:r>
      <w:r>
        <w:t xml:space="preserve"> </w:t>
      </w:r>
      <w:r>
        <w:t xml:space="preserve">Check in this order — (a) the county’s own ArcGIS Hub or public</w:t>
      </w:r>
      <w:r>
        <w:t xml:space="preserve"> </w:t>
      </w:r>
      <w:r>
        <w:t xml:space="preserve">REST endpoint; (b) the largest</w:t>
      </w:r>
      <w:r>
        <w:t xml:space="preserve"> </w:t>
      </w:r>
      <w:r>
        <w:rPr>
          <w:iCs/>
          <w:i/>
        </w:rPr>
        <w:t xml:space="preserve">city</w:t>
      </w:r>
      <w:r>
        <w:t xml:space="preserve"> </w:t>
      </w:r>
      <w:r>
        <w:t xml:space="preserve">in the county (Chattanooga gives away what Hamilton sells);</w:t>
      </w:r>
    </w:p>
    <w:p>
      <w:pPr>
        <w:numPr>
          <w:ilvl w:val="1"/>
          <w:numId w:val="1003"/>
        </w:numPr>
        <w:pStyle w:val="Compact"/>
      </w:pPr>
      <w:r>
        <w:t xml:space="preserve">the county’s 911 / ECD, a separate entity that is routinely more open than the county;</w:t>
      </w:r>
    </w:p>
    <w:p>
      <w:pPr>
        <w:numPr>
          <w:ilvl w:val="1"/>
          <w:numId w:val="1003"/>
        </w:numPr>
        <w:pStyle w:val="Compact"/>
      </w:pPr>
      <w:r>
        <w:t xml:space="preserve">the Comptroller statewide feed; (e) the statewide city-boundary layer.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materially changes a finding.</w:t>
      </w:r>
      <w:r>
        <w:t xml:space="preserve"> </w:t>
      </w:r>
      <w:r>
        <w:t xml:space="preserve">Municipal boundary: always — and free. Parcels: usually only</w:t>
      </w:r>
      <w:r>
        <w:t xml:space="preserve"> </w:t>
      </w:r>
      <w:r>
        <w:t xml:space="preserve">as join context. The real purchase candidates are things the state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publish — zoning,</w:t>
      </w:r>
      <w:r>
        <w:t xml:space="preserve"> </w:t>
      </w:r>
      <w:r>
        <w:t xml:space="preserve">special tax districts, sub-address and unit-level points.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county will not furnish it as client</w:t>
      </w:r>
      <w:r>
        <w:t xml:space="preserve">, or the county is not the client.</w:t>
      </w:r>
    </w:p>
    <w:p>
      <w:pPr>
        <w:pStyle w:val="FirstParagraph"/>
      </w:pPr>
      <w:r>
        <w:t xml:space="preserve">One independent trigger overrides all three: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Defensibility.</w:t>
      </w:r>
      <w:r>
        <w:t xml:space="preserve"> </w:t>
      </w:r>
      <w:r>
        <w:t xml:space="preserve">Free data ships with disclaimers. If a situs finding will be contested by a</w:t>
      </w:r>
      <w:r>
        <w:t xml:space="preserve"> </w:t>
      </w:r>
      <w:r>
        <w:t xml:space="preserve">taxpayer or by a city, a purchased dataset carrying the county’s own imprimatur is worth $75 many</w:t>
      </w:r>
      <w:r>
        <w:t xml:space="preserve"> </w:t>
      </w:r>
      <w:r>
        <w:t xml:space="preserve">times over.</w:t>
      </w:r>
      <w:r>
        <w:t xml:space="preserve"> </w:t>
      </w:r>
      <w:r>
        <w:rPr>
          <w:bCs/>
          <w:b/>
        </w:rPr>
        <w:t xml:space="preserve">This, not coverage, is the only strong argument for buying</w:t>
      </w:r>
      <w:r>
        <w:t xml:space="preserve"> </w:t>
      </w:r>
      <w:r>
        <w:t xml:space="preserve">— and it applies</w:t>
      </w:r>
      <w:r>
        <w:t xml:space="preserve"> </w:t>
      </w:r>
      <w:r>
        <w:t xml:space="preserve">selectively, after a specific dispute arises, not as a standing line item.</w:t>
      </w:r>
    </w:p>
    <w:bookmarkEnd w:id="25"/>
    <w:bookmarkStart w:id="26" w:name="cost-of-each-path-across-95-counties"/>
    <w:p>
      <w:pPr>
        <w:pStyle w:val="Heading3"/>
      </w:pPr>
      <w:r>
        <w:t xml:space="preserve">Cost of each path across 95 counties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~$3,000–$6,000 actual (the $28,500 nominal figure is fiction — most counties have nothing to sell)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190–380 hours</w:t>
            </w:r>
            <w:r>
              <w:t xml:space="preserve"> </w:t>
            </w:r>
            <w:r>
              <w:t xml:space="preserve">of procurement, vendor setup, PO and follow-up across 95 jurisdictions, recurring every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Free-first, buy on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 $2,000 one-time</w:t>
            </w:r>
            <w:r>
              <w:t xml:space="preserve">, 3–4 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Engineering: maintaining ~6–10 ingest paths instead of one uniform purchase pipeline. Recurring licence cost approximately zero.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 a $2,000–$3,000 one-time exception reserve. Do not create a per-county line item.</w:t>
      </w:r>
    </w:p>
    <w:p>
      <w:pPr>
        <w:pStyle w:val="BodyText"/>
      </w:pPr>
      <w:r>
        <w:t xml:space="preserve">Two things to resolve before committing, both currently undetermined because neither publishes a</w:t>
      </w:r>
      <w:r>
        <w:t xml:space="preserve"> </w:t>
      </w:r>
      <w:r>
        <w:t xml:space="preserve">policy:</w:t>
      </w:r>
      <w:r>
        <w:t xml:space="preserve"> </w:t>
      </w:r>
      <w:r>
        <w:rPr>
          <w:bCs/>
          <w:b/>
        </w:rPr>
        <w:t xml:space="preserve">Knox County’s actual KGIS price and terms</w:t>
      </w:r>
      <w:r>
        <w:t xml:space="preserve">, and</w:t>
      </w:r>
      <w:r>
        <w:t xml:space="preserve"> </w:t>
      </w:r>
      <w:r>
        <w:rPr>
          <w:bCs/>
          <w:b/>
        </w:rPr>
        <w:t xml:space="preserve">Williamson County’s policy</w:t>
      </w:r>
      <w:r>
        <w:t xml:space="preserve">. Both are</w:t>
      </w:r>
      <w:r>
        <w:t xml:space="preserve"> </w:t>
      </w:r>
      <w:r>
        <w:t xml:space="preserve">high-value markets. One phone call each, made in the name of a Tennessee-citizen employee.</w:t>
      </w:r>
    </w:p>
    <w:bookmarkEnd w:id="26"/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$450 Question — GIS Spend Decision, Wilson County and Statewide</dc:title>
  <dc:creator>Civvix Inc.</dc:creator>
  <cp:keywords/>
  <dcterms:created xsi:type="dcterms:W3CDTF">2026-09-13T01:43:27Z</dcterms:created>
  <dcterms:modified xsi:type="dcterms:W3CDTF">2026-09-13T01:43:27Z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