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Insurance and Data Handling for Confidential Situs Data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iCs/>
          <w:i/>
        </w:rPr>
        <w:t xml:space="preserve">Prepared for Civvix Inc. Not legal advice and not an insurance quote — a licensed Tennessee broker</w:t>
      </w:r>
      <w:r>
        <w:rPr>
          <w:iCs/>
          <w:i/>
        </w:rPr>
        <w:t xml:space="preserve"> </w:t>
      </w:r>
      <w:r>
        <w:rPr>
          <w:iCs/>
          <w:i/>
        </w:rPr>
        <w:t xml:space="preserve">must place any coverage, and a Tennessee attorney should review the statutory reads flagged below.</w:t>
      </w:r>
    </w:p>
    <w:p>
      <w:r>
        <w:pict>
          <v:rect style="width:0;height:1.5pt" o:hralign="center" o:hrstd="t" o:hr="t"/>
        </w:pict>
      </w:r>
    </w:p>
    <w:bookmarkStart w:id="20" w:name="the-short-version"/>
    <w:p>
      <w:pPr>
        <w:pStyle w:val="Heading2"/>
      </w:pPr>
      <w:r>
        <w:t xml:space="preserve">The short version</w:t>
      </w:r>
    </w:p>
    <w:p>
      <w:pPr>
        <w:pStyle w:val="FirstParagraph"/>
      </w:pPr>
      <w:r>
        <w:t xml:space="preserve">Your biggest exposure on this engagement is</w:t>
      </w:r>
      <w:r>
        <w:t xml:space="preserve"> </w:t>
      </w:r>
      <w:r>
        <w:rPr>
          <w:bCs/>
          <w:b/>
        </w:rPr>
        <w:t xml:space="preserve">not insurable</w:t>
      </w:r>
      <w:r>
        <w:t xml:space="preserve">, and your second biggest is</w:t>
      </w:r>
      <w:r>
        <w:t xml:space="preserve"> </w:t>
      </w:r>
      <w:r>
        <w:rPr>
          <w:bCs/>
          <w:b/>
        </w:rPr>
        <w:t xml:space="preserve">not a</w:t>
      </w:r>
      <w:r>
        <w:rPr>
          <w:bCs/>
          <w:b/>
        </w:rPr>
        <w:t xml:space="preserve"> </w:t>
      </w:r>
      <w:r>
        <w:rPr>
          <w:bCs/>
          <w:b/>
        </w:rPr>
        <w:t xml:space="preserve">data breach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T.C.A. § 67-1-1709 is a Class E felony</w:t>
      </w:r>
      <w:r>
        <w:t xml:space="preserve"> </w:t>
      </w:r>
      <w:r>
        <w:t xml:space="preserve">— 1 to 6 years and a fine up to $3,000 — and</w:t>
      </w:r>
      <w:r>
        <w:t xml:space="preserve"> </w:t>
      </w:r>
      <w:r>
        <w:t xml:space="preserve">§ 67-1-1704(e) expressly imports it onto contractors by name. It attaches to</w:t>
      </w:r>
      <w:r>
        <w:t xml:space="preserve"> </w:t>
      </w:r>
      <w:r>
        <w:rPr>
          <w:iCs/>
          <w:i/>
        </w:rPr>
        <w:t xml:space="preserve">individual human</w:t>
      </w:r>
      <w:r>
        <w:rPr>
          <w:iCs/>
          <w:i/>
        </w:rPr>
        <w:t xml:space="preserve"> </w:t>
      </w:r>
      <w:r>
        <w:rPr>
          <w:iCs/>
          <w:i/>
        </w:rPr>
        <w:t xml:space="preserve">beings</w:t>
      </w:r>
      <w:r>
        <w:t xml:space="preserve">, and it attaches</w:t>
      </w:r>
      <w:r>
        <w:t xml:space="preserve"> </w:t>
      </w:r>
      <w:r>
        <w:rPr>
          <w:bCs/>
          <w:b/>
        </w:rPr>
        <w:t xml:space="preserve">permanently</w:t>
      </w:r>
      <w:r>
        <w:t xml:space="preserve">: the statute reaches</w:t>
      </w:r>
      <w:r>
        <w:t xml:space="preserve"> </w:t>
      </w:r>
      <w:r>
        <w:t xml:space="preserve">“</w:t>
      </w:r>
      <w:r>
        <w:t xml:space="preserve">any person who has,</w:t>
      </w:r>
      <w:r>
        <w:t xml:space="preserve"> </w:t>
      </w:r>
      <w:r>
        <w:rPr>
          <w:bCs/>
          <w:b/>
        </w:rPr>
        <w:t xml:space="preserve">or had at any</w:t>
      </w:r>
      <w:r>
        <w:rPr>
          <w:bCs/>
          <w:b/>
        </w:rPr>
        <w:t xml:space="preserve"> </w:t>
      </w:r>
      <w:r>
        <w:rPr>
          <w:bCs/>
          <w:b/>
        </w:rPr>
        <w:t xml:space="preserve">time</w:t>
      </w:r>
      <w:r>
        <w:t xml:space="preserve">, access.</w:t>
      </w:r>
      <w:r>
        <w:t xml:space="preserve">”</w:t>
      </w:r>
      <w:r>
        <w:t xml:space="preserve"> </w:t>
      </w:r>
      <w:r>
        <w:t xml:space="preserve">It does not end when the contract ends or when an employee leaves. No policy</w:t>
      </w:r>
      <w:r>
        <w:t xml:space="preserve"> </w:t>
      </w:r>
      <w:r>
        <w:t xml:space="preserve">transfers this. Controls, contract structure and keeping the number of people small are what</w:t>
      </w:r>
      <w:r>
        <w:t xml:space="preserve"> </w:t>
      </w:r>
      <w:r>
        <w:t xml:space="preserve">mitigate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data is boring, and that is worth money.</w:t>
      </w:r>
      <w:r>
        <w:t xml:space="preserve"> </w:t>
      </w:r>
      <w:r>
        <w:t xml:space="preserve">Business name, business address, four-digit situs</w:t>
      </w:r>
      <w:r>
        <w:t xml:space="preserve"> </w:t>
      </w:r>
      <w:r>
        <w:t xml:space="preserve">code. That is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personal information</w:t>
      </w:r>
      <w:r>
        <w:rPr>
          <w:bCs/>
          <w:b/>
        </w:rPr>
        <w:t xml:space="preserve">”</w:t>
      </w:r>
      <w:r>
        <w:t xml:space="preserve"> </w:t>
      </w:r>
      <w:r>
        <w:t xml:space="preserve">under Tennessee’s breach-notification statute</w:t>
      </w:r>
      <w:r>
        <w:t xml:space="preserve"> </w:t>
      </w:r>
      <w:r>
        <w:t xml:space="preserve">(T.C.A. § 47-18-2107), which requires a name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an SSN, driver licence number, or a financial</w:t>
      </w:r>
      <w:r>
        <w:t xml:space="preserve"> </w:t>
      </w:r>
      <w:r>
        <w:t xml:space="preserve">account number with its access code. If a laptop holding the full county file is stolen tomorrow,</w:t>
      </w:r>
      <w:r>
        <w:t xml:space="preserve"> </w:t>
      </w:r>
      <w:r>
        <w:rPr>
          <w:bCs/>
          <w:b/>
        </w:rPr>
        <w:t xml:space="preserve">no notification is required</w:t>
      </w:r>
      <w:r>
        <w:t xml:space="preserve">. Say this explicitly on every insurance application — vague</w:t>
      </w:r>
      <w:r>
        <w:t xml:space="preserve"> </w:t>
      </w:r>
      <w:r>
        <w:t xml:space="preserve">applications get priced defensively.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Buy technology E&amp;O first, cyber second.</w:t>
      </w:r>
      <w:r>
        <w:t xml:space="preserve"> </w:t>
      </w:r>
      <w:r>
        <w:t xml:space="preserve">Your realistic claim is</w:t>
      </w:r>
      <w:r>
        <w:t xml:space="preserve"> </w:t>
      </w:r>
      <w:r>
        <w:t xml:space="preserve">“</w:t>
      </w:r>
      <w:r>
        <w:t xml:space="preserve">your situs analysis was wrong</w:t>
      </w:r>
      <w:r>
        <w:t xml:space="preserve"> </w:t>
      </w:r>
      <w:r>
        <w:t xml:space="preserve">and it cost the county money</w:t>
      </w:r>
      <w:r>
        <w:t xml:space="preserve">”</w:t>
      </w:r>
      <w:r>
        <w:t xml:space="preserve"> </w:t>
      </w:r>
      <w:r>
        <w:t xml:space="preserve">— a pure economic loss that commercial general liability does not</w:t>
      </w:r>
      <w:r>
        <w:t xml:space="preserve"> </w:t>
      </w:r>
      <w:r>
        <w:t xml:space="preserve">cover. That is an E&amp;O claim, not a breach claim.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 roughly $2,300–$5,000 a year</w:t>
      </w:r>
      <w:r>
        <w:t xml:space="preserve"> </w:t>
      </w:r>
      <w:r>
        <w:t xml:space="preserve">for CGL + tech E&amp;O + cyber at $1M limits. The cyber market</w:t>
      </w:r>
      <w:r>
        <w:t xml:space="preserve"> </w:t>
      </w:r>
      <w:r>
        <w:t xml:space="preserve">has now posted twelve consecutive quarters of rate declines. Get three quotes and push back on</w:t>
      </w:r>
      <w:r>
        <w:t xml:space="preserve"> </w:t>
      </w:r>
      <w:r>
        <w:t xml:space="preserve">the first number.</w:t>
      </w:r>
    </w:p>
    <w:p>
      <w:r>
        <w:pict>
          <v:rect style="width:0;height:1.5pt" o:hralign="center" o:hrstd="t" o:hr="t"/>
        </w:pict>
      </w:r>
    </w:p>
    <w:bookmarkEnd w:id="20"/>
    <w:bookmarkStart w:id="23" w:name="what-to-buy-and-what-is-theatre"/>
    <w:p>
      <w:pPr>
        <w:pStyle w:val="Heading2"/>
      </w:pPr>
      <w:r>
        <w:t xml:space="preserve">What to buy, and what is theatre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 E&amp;O / Professional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actual work-product exposure. CGL will not touch a pure economic loss.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is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notification (≈ zero here). It is (a) breach counsel within hours of any incident touching this data, and (b) the</w:t>
            </w:r>
            <w:r>
              <w:t xml:space="preserve"> </w:t>
            </w:r>
            <w:r>
              <w:rPr>
                <w:bCs/>
                <w:b/>
              </w:rPr>
              <w:t xml:space="preserve">governmental-investigation defence-cost grant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 General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— contractually mandatory, functionally irrelevant to the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2014 the ISO forms carry the CG 21 06 / CG 21 07 exclusions, which strip data-breach liability out of CGL entirely. Every county contract still requires it, and it is cheap.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engineering fraud endorsement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— cheapest real protection you will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fraud triggered by a spoofed vendor or a spoofed CEO is the single most common actual loss at a 3–10 person company. The State of Tennessee’s own pro forma requires $250,000.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Crime / fidelity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unless a contract demands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against employees stealing funds. You do not handle county money.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D&amp;O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Defer — but ask one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at this stage. However, D&amp;O is the one policy that can advance</w:t>
            </w:r>
            <w:r>
              <w:t xml:space="preserve"> </w:t>
            </w:r>
            <w:r>
              <w:rPr>
                <w:bCs/>
                <w:b/>
              </w:rPr>
              <w:t xml:space="preserve">individual criminal defence costs</w:t>
            </w:r>
            <w:r>
              <w:t xml:space="preserve">, which cyber and E&amp;O (entity-focused) generally will not. Raise it with your broker as a deliberate question rather than a default purchase.</w:t>
            </w:r>
          </w:p>
        </w:tc>
      </w:tr>
    </w:tbl>
    <w:bookmarkStart w:id="21" w:name="X2fe659e8f8474b32a1c989218f613981bd1f529"/>
    <w:p>
      <w:pPr>
        <w:pStyle w:val="Heading3"/>
      </w:pPr>
      <w:r>
        <w:t xml:space="preserve">The two questions to put to a broker in writing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the cyber policy’s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protected information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definition reach third-party confidential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corporate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information</w:t>
      </w:r>
      <w:r>
        <w:t xml:space="preserve">, not just PII? Standard forms usually do, via the corporate-confidential-</w:t>
      </w:r>
      <w:r>
        <w:t xml:space="preserve"> </w:t>
      </w:r>
      <w:r>
        <w:t xml:space="preserve">data prong — but this is the wording that decides whether your policy responds at all, because</w:t>
      </w:r>
      <w:r>
        <w:t xml:space="preserve"> </w:t>
      </w:r>
      <w:r>
        <w:t xml:space="preserve">your file contains no PII.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Does the regulatory / governmental-proceeding grant reach a criminal investigation by a state</w:t>
      </w:r>
      <w:r>
        <w:rPr>
          <w:bCs/>
          <w:b/>
        </w:rPr>
        <w:t xml:space="preserve"> </w:t>
      </w:r>
      <w:r>
        <w:rPr>
          <w:bCs/>
          <w:b/>
        </w:rPr>
        <w:t xml:space="preserve">District Attorney, and does it cover individual insured persons</w:t>
      </w:r>
      <w:r>
        <w:t xml:space="preserve"> </w:t>
      </w:r>
      <w:r>
        <w:t xml:space="preserve">— or only the entity, and only</w:t>
      </w:r>
      <w:r>
        <w:t xml:space="preserve"> </w:t>
      </w:r>
      <w:r>
        <w:t xml:space="preserve">civil regulators? Most small-business forms are entity-focused and civil-regulator-focused. Get</w:t>
      </w:r>
      <w:r>
        <w:t xml:space="preserve"> </w:t>
      </w:r>
      <w:r>
        <w:t xml:space="preserve">the answer in writing before relying on it.</w:t>
      </w:r>
    </w:p>
    <w:bookmarkEnd w:id="21"/>
    <w:bookmarkStart w:id="22" w:name="what-insurance-cannot-do-stated-plainly"/>
    <w:p>
      <w:pPr>
        <w:pStyle w:val="Heading3"/>
      </w:pPr>
      <w:r>
        <w:t xml:space="preserve">What insurance cannot do, stated plainly</w:t>
      </w:r>
    </w:p>
    <w:p>
      <w:pPr>
        <w:pStyle w:val="FirstParagraph"/>
      </w:pPr>
      <w:r>
        <w:t xml:space="preserve">Criminal fines and imprisonment are uninsurable as a matter of public policy.</w:t>
      </w:r>
      <w:r>
        <w:t xml:space="preserve"> </w:t>
      </w:r>
      <w:r>
        <w:rPr>
          <w:bCs/>
          <w:b/>
        </w:rPr>
        <w:t xml:space="preserve">Defence costs are a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question</w:t>
      </w:r>
      <w:r>
        <w:t xml:space="preserve"> </w:t>
      </w:r>
      <w:r>
        <w:t xml:space="preserve">and are generally coverable — the insurability analysis does not reach</w:t>
      </w:r>
      <w:r>
        <w:t xml:space="preserve"> </w:t>
      </w:r>
      <w:r>
        <w:t xml:space="preserve">investigatory and defence expense, and D&amp;O conduct exclusions typically require a</w:t>
      </w:r>
      <w:r>
        <w:t xml:space="preserve"> </w:t>
      </w:r>
      <w:r>
        <w:rPr>
          <w:iCs/>
          <w:i/>
        </w:rPr>
        <w:t xml:space="preserve">final,</w:t>
      </w:r>
      <w:r>
        <w:rPr>
          <w:iCs/>
          <w:i/>
        </w:rPr>
        <w:t xml:space="preserve"> </w:t>
      </w:r>
      <w:r>
        <w:rPr>
          <w:iCs/>
          <w:i/>
        </w:rPr>
        <w:t xml:space="preserve">nonappealable adjudication</w:t>
      </w:r>
      <w:r>
        <w:t xml:space="preserve"> </w:t>
      </w:r>
      <w:r>
        <w:t xml:space="preserve">before they bite, so fees get advanced through the proceeding. If the</w:t>
      </w:r>
      <w:r>
        <w:t xml:space="preserve"> </w:t>
      </w:r>
      <w:r>
        <w:t xml:space="preserve">disclosure was intentional, the conduct exclusion eventually claws even those back. That is not a</w:t>
      </w:r>
      <w:r>
        <w:t xml:space="preserve"> </w:t>
      </w:r>
      <w:r>
        <w:t xml:space="preserve">term you can negotiate away.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at-tennessee-counties-actually-require"/>
    <w:p>
      <w:pPr>
        <w:pStyle w:val="Heading2"/>
      </w:pPr>
      <w:r>
        <w:t xml:space="preserve">What Tennessee counties actually require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statewide standard</w:t>
      </w:r>
      <w:r>
        <w:t xml:space="preserve">. Neither CTAS nor MTAS publishes vendor insurance or data-security</w:t>
      </w:r>
      <w:r>
        <w:t xml:space="preserve"> </w:t>
      </w:r>
      <w:r>
        <w:t xml:space="preserve">guidance — I checked both, and the absence is the finding. Requirements live in each entity’s</w:t>
      </w:r>
      <w:r>
        <w:t xml:space="preserve"> </w:t>
      </w:r>
      <w:r>
        <w:t xml:space="preserve">standard bid text and are negotiable.</w:t>
      </w:r>
      <w:r>
        <w:t xml:space="preserve"> </w:t>
      </w:r>
      <w:r>
        <w:rPr>
          <w:bCs/>
          <w:b/>
        </w:rPr>
        <w:t xml:space="preserve">Ask for the county’s standard terms before you quote.</w:t>
      </w:r>
    </w:p>
    <w:p>
      <w:pPr>
        <w:pStyle w:val="BodyText"/>
      </w:pPr>
      <w:r>
        <w:rPr>
          <w:bCs/>
          <w:b/>
        </w:rPr>
        <w:t xml:space="preserve">Knox County’s posted vendor requirements</w:t>
      </w:r>
      <w:r>
        <w:t xml:space="preserve"> </w:t>
      </w:r>
      <w:r>
        <w:t xml:space="preserve">are the best available benchmark for a Tennessee county:</w:t>
      </w:r>
    </w:p>
    <w:p>
      <w:pPr>
        <w:numPr>
          <w:ilvl w:val="0"/>
          <w:numId w:val="1003"/>
        </w:numPr>
        <w:pStyle w:val="Compact"/>
      </w:pPr>
      <w:r>
        <w:t xml:space="preserve">Workers Compensation — Tennessee statutory limits</w:t>
      </w:r>
    </w:p>
    <w:p>
      <w:pPr>
        <w:numPr>
          <w:ilvl w:val="0"/>
          <w:numId w:val="1003"/>
        </w:numPr>
        <w:pStyle w:val="Compact"/>
      </w:pPr>
      <w:r>
        <w:t xml:space="preserve">Employers Liability — $100,000 / $100,000 / $500,000</w:t>
      </w:r>
    </w:p>
    <w:p>
      <w:pPr>
        <w:numPr>
          <w:ilvl w:val="0"/>
          <w:numId w:val="1003"/>
        </w:numPr>
        <w:pStyle w:val="Compact"/>
      </w:pPr>
      <w:r>
        <w:t xml:space="preserve">Commercial General Liability —</w:t>
      </w:r>
      <w:r>
        <w:t xml:space="preserve"> </w:t>
      </w:r>
      <w:r>
        <w:rPr>
          <w:bCs/>
          <w:b/>
        </w:rPr>
        <w:t xml:space="preserve">$1,000,000 per occurrence / $2,000,000 aggregate</w:t>
      </w:r>
    </w:p>
    <w:p>
      <w:pPr>
        <w:numPr>
          <w:ilvl w:val="0"/>
          <w:numId w:val="1003"/>
        </w:numPr>
        <w:pStyle w:val="Compact"/>
      </w:pPr>
      <w:r>
        <w:t xml:space="preserve">Automobile Liability — $1,000,000 CSL</w:t>
      </w:r>
    </w:p>
    <w:p>
      <w:pPr>
        <w:numPr>
          <w:ilvl w:val="0"/>
          <w:numId w:val="1003"/>
        </w:numPr>
        <w:pStyle w:val="Compact"/>
      </w:pPr>
      <w:r>
        <w:t xml:space="preserve">Umbrella —</w:t>
      </w:r>
      <w:r>
        <w:t xml:space="preserve"> </w:t>
      </w:r>
      <w:r>
        <w:rPr>
          <w:bCs/>
          <w:b/>
        </w:rPr>
        <w:t xml:space="preserve">$2,000,000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Professional Liability — $1,000,000 per occurrence/claim</w:t>
      </w:r>
    </w:p>
    <w:p>
      <w:pPr>
        <w:numPr>
          <w:ilvl w:val="0"/>
          <w:numId w:val="1003"/>
        </w:numPr>
        <w:pStyle w:val="Compact"/>
      </w:pPr>
      <w:r>
        <w:t xml:space="preserve">County named additional insured on all policies except workers’ comp and auto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Endorsement pages required with the certificate</w:t>
      </w:r>
      <w:r>
        <w:t xml:space="preserve">, referencing the RFP number</w:t>
      </w:r>
    </w:p>
    <w:p>
      <w:pPr>
        <w:numPr>
          <w:ilvl w:val="0"/>
          <w:numId w:val="1003"/>
        </w:numPr>
        <w:pStyle w:val="Compact"/>
      </w:pPr>
      <w:r>
        <w:t xml:space="preserve">Carriers rated</w:t>
      </w:r>
      <w:r>
        <w:t xml:space="preserve"> </w:t>
      </w:r>
      <w:r>
        <w:rPr>
          <w:bCs/>
          <w:b/>
        </w:rPr>
        <w:t xml:space="preserve">A- VII or better</w:t>
      </w:r>
      <w:r>
        <w:t xml:space="preserve"> </w:t>
      </w:r>
      <w:r>
        <w:t xml:space="preserve">by A.M. Best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Cyber liability is not required at all</w:t>
      </w:r>
    </w:p>
    <w:p>
      <w:pPr>
        <w:pStyle w:val="FirstParagraph"/>
      </w:pPr>
      <w:r>
        <w:t xml:space="preserve">So the answer to</w:t>
      </w:r>
      <w:r>
        <w:t xml:space="preserve"> </w:t>
      </w:r>
      <w:r>
        <w:t xml:space="preserve">“</w:t>
      </w:r>
      <w:r>
        <w:t xml:space="preserve">$1M/$2M or $2M/$5M</w:t>
      </w:r>
      <w:r>
        <w:t xml:space="preserve">”</w:t>
      </w:r>
      <w:r>
        <w:t xml:space="preserve"> </w:t>
      </w:r>
      <w:r>
        <w:t xml:space="preserve">for a Tennessee county is</w:t>
      </w:r>
      <w:r>
        <w:t xml:space="preserve"> </w:t>
      </w:r>
      <w:r>
        <w:rPr>
          <w:bCs/>
          <w:b/>
        </w:rPr>
        <w:t xml:space="preserve">$1M/$2M with a $2M umbrella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By contrast, a State of Tennessee pro forma contract requires $10,000,000 cyber liability</w:t>
      </w:r>
      <w:r>
        <w:t xml:space="preserve">,</w:t>
      </w:r>
      <w:r>
        <w:t xml:space="preserve"> </w:t>
      </w:r>
      <w:r>
        <w:t xml:space="preserve">$1M crime with a $250K social-engineering endorsement, FIPS 140-2/140-3 encryption at rest and in</w:t>
      </w:r>
      <w:r>
        <w:t xml:space="preserve"> </w:t>
      </w:r>
      <w:r>
        <w:t xml:space="preserve">transit, and all state data held inside the United States.</w:t>
      </w:r>
      <w:r>
        <w:t xml:space="preserve"> </w:t>
      </w:r>
      <w:r>
        <w:rPr>
          <w:iCs/>
          <w:i/>
        </w:rPr>
        <w:t xml:space="preserve">(That figure is from one procurement’s</w:t>
      </w:r>
      <w:r>
        <w:rPr>
          <w:iCs/>
          <w:i/>
        </w:rPr>
        <w:t xml:space="preserve"> </w:t>
      </w:r>
      <w:r>
        <w:rPr>
          <w:iCs/>
          <w:i/>
        </w:rPr>
        <w:t xml:space="preserve">pro forma; state limits scale with data sensitivity and contract value — treat it as directional.)</w:t>
      </w:r>
    </w:p>
    <w:p>
      <w:pPr>
        <w:pStyle w:val="BodyText"/>
      </w:pPr>
      <w:r>
        <w:rPr>
          <w:bCs/>
          <w:b/>
        </w:rPr>
        <w:t xml:space="preserve">The gap between $0 cyber at the county and $10M at the state is the most useful number in this</w:t>
      </w:r>
      <w:r>
        <w:rPr>
          <w:bCs/>
          <w:b/>
        </w:rPr>
        <w:t xml:space="preserve"> </w:t>
      </w:r>
      <w:r>
        <w:rPr>
          <w:bCs/>
          <w:b/>
        </w:rPr>
        <w:t xml:space="preserve">memo.</w:t>
      </w:r>
      <w:r>
        <w:t xml:space="preserve"> </w:t>
      </w:r>
      <w:r>
        <w:t xml:space="preserve">Choose limits based on whether you intend to sell to state agencies later, not on what</w:t>
      </w:r>
      <w:r>
        <w:t xml:space="preserve"> </w:t>
      </w:r>
      <w:r>
        <w:t xml:space="preserve">Wilson County will ask for.</w:t>
      </w:r>
    </w:p>
    <w:p>
      <w:r>
        <w:pict>
          <v:rect style="width:0;height:1.5pt" o:hralign="center" o:hrstd="t" o:hr="t"/>
        </w:pict>
      </w:r>
    </w:p>
    <w:bookmarkEnd w:id="24"/>
    <w:bookmarkStart w:id="25" w:name="the-document-worth-reading-twice"/>
    <w:p>
      <w:pPr>
        <w:pStyle w:val="Heading2"/>
      </w:pPr>
      <w:r>
        <w:t xml:space="preserve">The document worth reading twice</w:t>
      </w:r>
    </w:p>
    <w:p>
      <w:pPr>
        <w:pStyle w:val="FirstParagraph"/>
      </w:pPr>
      <w:r>
        <w:rPr>
          <w:bCs/>
          <w:b/>
        </w:rPr>
        <w:t xml:space="preserve">Knox County Procurement RFP #2969,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Tax Consulting Services.</w:t>
      </w:r>
      <w:r>
        <w:rPr>
          <w:bCs/>
          <w:b/>
        </w:rPr>
        <w:t xml:space="preserve">”</w:t>
      </w:r>
      <w:r>
        <w:t xml:space="preserve"> </w:t>
      </w:r>
      <w:r>
        <w:t xml:space="preserve">Its scope is your fact pattern</w:t>
      </w:r>
      <w:r>
        <w:t xml:space="preserve"> </w:t>
      </w:r>
      <w:r>
        <w:t xml:space="preserve">almost verbatim: audit the situs reports of local governments, identify taxpayers whose situs code</w:t>
      </w:r>
      <w:r>
        <w:t xml:space="preserve"> </w:t>
      </w:r>
      <w:r>
        <w:t xml:space="preserve">belongs in Knox County but whose collections were reported elsewhere, prepare correspondence,</w:t>
      </w:r>
      <w:r>
        <w:t xml:space="preserve"> </w:t>
      </w:r>
      <w:r>
        <w:t xml:space="preserve">coordinate with the Department of Revenue, report to Knox County Finance.</w:t>
      </w:r>
    </w:p>
    <w:p>
      <w:pPr>
        <w:pStyle w:val="BodyText"/>
      </w:pPr>
      <w:r>
        <w:rPr>
          <w:bCs/>
          <w:b/>
        </w:rPr>
        <w:t xml:space="preserve">That RFP contains no insurance requirements section, no confidentiality clause, no data-security</w:t>
      </w:r>
      <w:r>
        <w:rPr>
          <w:bCs/>
          <w:b/>
        </w:rPr>
        <w:t xml:space="preserve"> </w:t>
      </w:r>
      <w:r>
        <w:rPr>
          <w:bCs/>
          <w:b/>
        </w:rPr>
        <w:t xml:space="preserve">requirements, no NDA, no background checks, no data-destruction protocol, and no reference to</w:t>
      </w:r>
      <w:r>
        <w:rPr>
          <w:bCs/>
          <w:b/>
        </w:rPr>
        <w:t xml:space="preserve"> </w:t>
      </w:r>
      <w:r>
        <w:rPr>
          <w:bCs/>
          <w:b/>
        </w:rPr>
        <w:t xml:space="preserve">§ 67-1-1704 or § 67-1-1709 at all.</w:t>
      </w:r>
    </w:p>
    <w:p>
      <w:pPr>
        <w:pStyle w:val="BodyText"/>
      </w:pPr>
      <w:r>
        <w:t xml:space="preserve">Two things follow. First, competitively:</w:t>
      </w:r>
      <w:r>
        <w:t xml:space="preserve"> </w:t>
      </w:r>
      <w:r>
        <w:rPr>
          <w:bCs/>
          <w:b/>
        </w:rPr>
        <w:t xml:space="preserve">a large Tennessee county has already procured this exact</w:t>
      </w:r>
      <w:r>
        <w:rPr>
          <w:bCs/>
          <w:b/>
        </w:rPr>
        <w:t xml:space="preserve"> </w:t>
      </w:r>
      <w:r>
        <w:rPr>
          <w:bCs/>
          <w:b/>
        </w:rPr>
        <w:t xml:space="preserve">service</w:t>
      </w:r>
      <w:r>
        <w:t xml:space="preserve">, which settles the open question of whether counties buy situs audits — they do — and</w:t>
      </w:r>
      <w:r>
        <w:t xml:space="preserve"> </w:t>
      </w:r>
      <w:r>
        <w:t xml:space="preserve">tells you what the incumbent procurement looks like. Second, defensively: the county’s silence</w:t>
      </w:r>
      <w:r>
        <w:t xml:space="preserve"> </w:t>
      </w:r>
      <w:r>
        <w:t xml:space="preserve">creates no defence for you. The felony statute applies whether or not the contract mentions it.</w:t>
      </w:r>
    </w:p>
    <w:p>
      <w:r>
        <w:pict>
          <v:rect style="width:0;height:1.5pt" o:hralign="center" o:hrstd="t" o:hr="t"/>
        </w:pict>
      </w:r>
    </w:p>
    <w:bookmarkEnd w:id="25"/>
    <w:bookmarkStart w:id="26" w:name="X1be62073a67431c5af62b4e5ad9dd99b169c011"/>
    <w:p>
      <w:pPr>
        <w:pStyle w:val="Heading2"/>
      </w:pPr>
      <w:r>
        <w:t xml:space="preserve">What actually blocks a small vendor, and what does not</w:t>
      </w:r>
    </w:p>
    <w:p>
      <w:pPr>
        <w:pStyle w:val="FirstParagraph"/>
      </w:pPr>
      <w:r>
        <w:t xml:space="preserve">In rough order of what stops a contract from executing at a county: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certificate of insurance with the county correctly named as additional insured, with the</w:t>
      </w:r>
      <w:r>
        <w:rPr>
          <w:bCs/>
          <w:b/>
        </w:rPr>
        <w:t xml:space="preserve"> </w:t>
      </w:r>
      <w:r>
        <w:rPr>
          <w:bCs/>
          <w:b/>
        </w:rPr>
        <w:t xml:space="preserve">endorsement pages attached.</w:t>
      </w:r>
      <w:r>
        <w:t xml:space="preserve"> </w:t>
      </w:r>
      <w:r>
        <w:t xml:space="preserve">This is the gate, it is administrative, and it is where small</w:t>
      </w:r>
      <w:r>
        <w:t xml:space="preserve"> </w:t>
      </w:r>
      <w:r>
        <w:t xml:space="preserve">vendors most often stall — wrong legal entity name, missing endorsements, carrier below A- VII,</w:t>
      </w:r>
      <w:r>
        <w:t xml:space="preserve"> </w:t>
      </w:r>
      <w:r>
        <w:t xml:space="preserve">no RFP number on the certificate.</w:t>
      </w:r>
    </w:p>
    <w:p>
      <w:pPr>
        <w:numPr>
          <w:ilvl w:val="0"/>
          <w:numId w:val="1004"/>
        </w:numPr>
        <w:pStyle w:val="Compact"/>
      </w:pPr>
      <w:r>
        <w:t xml:space="preserve">W-9 and vendor registration.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References from other Tennessee local governments.</w:t>
      </w:r>
      <w:r>
        <w:t xml:space="preserve"> </w:t>
      </w:r>
      <w:r>
        <w:t xml:space="preserve">Underweighted by vendors, heavily weighted</w:t>
      </w:r>
      <w:r>
        <w:t xml:space="preserve"> </w:t>
      </w:r>
      <w:r>
        <w:t xml:space="preserve">by finance directors.</w:t>
      </w:r>
    </w:p>
    <w:p>
      <w:pPr>
        <w:numPr>
          <w:ilvl w:val="0"/>
          <w:numId w:val="1004"/>
        </w:numPr>
        <w:pStyle w:val="Compact"/>
      </w:pPr>
      <w:r>
        <w:t xml:space="preserve">A signed contract with indemnification. Refusing to indemnify loses the deal.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named, accountable human.</w:t>
      </w:r>
      <w:r>
        <w:t xml:space="preserve"> </w:t>
      </w:r>
      <w:r>
        <w:t xml:space="preserve">“</w:t>
      </w:r>
      <w:r>
        <w:t xml:space="preserve">Who specifically will have access to this data?</w:t>
      </w:r>
      <w:r>
        <w:t xml:space="preserve">”</w:t>
      </w:r>
      <w:r>
        <w:t xml:space="preserve"> </w:t>
      </w:r>
      <w:r>
        <w:t xml:space="preserve">— answer it</w:t>
      </w:r>
      <w:r>
        <w:t xml:space="preserve"> </w:t>
      </w:r>
      <w:r>
        <w:t xml:space="preserve">before it is asked.</w:t>
      </w:r>
    </w:p>
    <w:p>
      <w:pPr>
        <w:pStyle w:val="FirstParagraph"/>
      </w:pPr>
      <w:r>
        <w:rPr>
          <w:bCs/>
          <w:b/>
        </w:rPr>
        <w:t xml:space="preserve">What a county will generally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ask a small vendor for:</w:t>
      </w:r>
      <w:r>
        <w:t xml:space="preserve"> </w:t>
      </w:r>
      <w:r>
        <w:t xml:space="preserve">SOC 2 Type II, penetration test</w:t>
      </w:r>
      <w:r>
        <w:t xml:space="preserve"> </w:t>
      </w:r>
      <w:r>
        <w:t xml:space="preserve">reports, StateRAMP/GovRAMP authorization, ISO 27001. A SOC 2 audit takes 6–12 months and real money;</w:t>
      </w:r>
      <w:r>
        <w:t xml:space="preserve"> </w:t>
      </w:r>
      <w:r>
        <w:t xml:space="preserve">no county is conditioning a modest professional-services contract on it. A state agency is a</w:t>
      </w:r>
      <w:r>
        <w:t xml:space="preserve"> </w:t>
      </w:r>
      <w:r>
        <w:t xml:space="preserve">different conversation entirely.</w:t>
      </w:r>
    </w:p>
    <w:p>
      <w:r>
        <w:pict>
          <v:rect style="width:0;height:1.5pt" o:hralign="center" o:hrstd="t" o:hr="t"/>
        </w:pict>
      </w:r>
    </w:p>
    <w:bookmarkEnd w:id="26"/>
    <w:bookmarkStart w:id="27" w:name="X550062e092db1d4b84468b31077cb63f36bcace"/>
    <w:p>
      <w:pPr>
        <w:pStyle w:val="Heading2"/>
      </w:pPr>
      <w:r>
        <w:t xml:space="preserve">The two-page protocol nobody will ask for — write it anyway</w:t>
      </w:r>
    </w:p>
    <w:p>
      <w:pPr>
        <w:pStyle w:val="FirstParagraph"/>
      </w:pPr>
      <w:r>
        <w:t xml:space="preserve">This is the actual mitigation for the uninsurable exposure in section 1, it costs an afternoon, and</w:t>
      </w:r>
      <w:r>
        <w:t xml:space="preserve"> </w:t>
      </w:r>
      <w:r>
        <w:t xml:space="preserve">it is reusable at every subsequent county.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Minimise at the source.</w:t>
      </w:r>
      <w:r>
        <w:t xml:space="preserve"> </w:t>
      </w:r>
      <w:r>
        <w:t xml:space="preserve">Demand in writing,</w:t>
      </w:r>
      <w:r>
        <w:t xml:space="preserve"> </w:t>
      </w:r>
      <w:r>
        <w:rPr>
          <w:iCs/>
          <w:i/>
        </w:rPr>
        <w:t xml:space="preserve">before any transfer</w:t>
      </w:r>
      <w:r>
        <w:t xml:space="preserve">, an extract containing only</w:t>
      </w:r>
      <w:r>
        <w:t xml:space="preserve"> </w:t>
      </w:r>
      <w:r>
        <w:rPr>
          <w:bCs/>
          <w:b/>
        </w:rPr>
        <w:t xml:space="preserve">name, address and situs code</w:t>
      </w:r>
      <w:r>
        <w:t xml:space="preserve">. Refuse anything more. If a file arrives carrying revenue figures</w:t>
      </w:r>
      <w:r>
        <w:t xml:space="preserve"> </w:t>
      </w:r>
      <w:r>
        <w:t xml:space="preserve">or account numbers, you are holding data § 67-1-1704(e) never permitted you to receive — and the</w:t>
      </w:r>
      <w:r>
        <w:t xml:space="preserve"> </w:t>
      </w:r>
      <w:r>
        <w:t xml:space="preserve">statute reaches anyone who</w:t>
      </w:r>
      <w:r>
        <w:t xml:space="preserve"> </w:t>
      </w:r>
      <w:r>
        <w:rPr>
          <w:iCs/>
          <w:i/>
        </w:rPr>
        <w:t xml:space="preserve">has access</w:t>
      </w:r>
      <w:r>
        <w:t xml:space="preserve">, not only anyone who misuses it.</w:t>
      </w:r>
      <w:r>
        <w:t xml:space="preserve"> </w:t>
      </w:r>
      <w:r>
        <w:rPr>
          <w:bCs/>
          <w:b/>
        </w:rPr>
        <w:t xml:space="preserve">The exposure attaches</w:t>
      </w:r>
      <w:r>
        <w:rPr>
          <w:bCs/>
          <w:b/>
        </w:rPr>
        <w:t xml:space="preserve"> </w:t>
      </w:r>
      <w:r>
        <w:rPr>
          <w:bCs/>
          <w:b/>
        </w:rPr>
        <w:t xml:space="preserve">on receipt.</w:t>
      </w:r>
      <w:r>
        <w:t xml:space="preserve"> </w:t>
      </w:r>
      <w:r>
        <w:t xml:space="preserve">Have a written procedure: do not open it, notify the county immediately in writing,</w:t>
      </w:r>
      <w:r>
        <w:t xml:space="preserve"> </w:t>
      </w:r>
      <w:r>
        <w:t xml:space="preserve">have it destroyed and re-cut.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Minimise the humans.</w:t>
      </w:r>
      <w:r>
        <w:t xml:space="preserve"> </w:t>
      </w:r>
      <w:r>
        <w:t xml:space="preserve">Every person with access is a separate, permanent, personal felony</w:t>
      </w:r>
      <w:r>
        <w:t xml:space="preserve"> </w:t>
      </w:r>
      <w:r>
        <w:t xml:space="preserve">exposure. Keep it to two or three. Name them in the contract. Being small is an advantage here —</w:t>
      </w:r>
      <w:r>
        <w:t xml:space="preserve"> </w:t>
      </w:r>
      <w:r>
        <w:t xml:space="preserve">use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Individual written acknowledgment</w:t>
      </w:r>
      <w:r>
        <w:t xml:space="preserve">, citing § 67-1-1704(e) and § 67-1-1709, stating the Class E</w:t>
      </w:r>
      <w:r>
        <w:t xml:space="preserve"> </w:t>
      </w:r>
      <w:r>
        <w:t xml:space="preserve">felony penalty explicitly, and acknowledging that the obligation survives employment. Re-signed</w:t>
      </w:r>
      <w:r>
        <w:t xml:space="preserve"> </w:t>
      </w:r>
      <w:r>
        <w:t xml:space="preserve">annually. Partly a control, partly evidence of good faith.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subcontractors, no offshore, no third-party AI tools on this data.</w:t>
      </w:r>
      <w:r>
        <w:t xml:space="preserve"> </w:t>
      </w:r>
      <w:r>
        <w:t xml:space="preserve">§ 67-1-1704(e) says flatly</w:t>
      </w:r>
      <w:r>
        <w:t xml:space="preserve"> </w:t>
      </w:r>
      <w:r>
        <w:t xml:space="preserve">that no contractor</w:t>
      </w:r>
      <w:r>
        <w:t xml:space="preserve"> </w:t>
      </w:r>
      <w:r>
        <w:t xml:space="preserve">“</w:t>
      </w:r>
      <w:r>
        <w:t xml:space="preserve">shall disclose such information to any other person.</w:t>
      </w:r>
      <w:r>
        <w:t xml:space="preserve">”</w:t>
      </w:r>
      <w:r>
        <w:t xml:space="preserve"> </w:t>
      </w:r>
      <w:r>
        <w:rPr>
          <w:bCs/>
          <w:b/>
        </w:rPr>
        <w:t xml:space="preserve">Pasting this data into</w:t>
      </w:r>
      <w:r>
        <w:rPr>
          <w:bCs/>
          <w:b/>
        </w:rPr>
        <w:t xml:space="preserve"> </w:t>
      </w:r>
      <w:r>
        <w:rPr>
          <w:bCs/>
          <w:b/>
        </w:rPr>
        <w:t xml:space="preserve">a third-party service is a disclosure.</w:t>
      </w:r>
      <w:r>
        <w:t xml:space="preserve"> </w:t>
      </w:r>
      <w:r>
        <w:t xml:space="preserve">Treat it as a bright line. Whether a properly structured</w:t>
      </w:r>
      <w:r>
        <w:t xml:space="preserve"> </w:t>
      </w:r>
      <w:r>
        <w:t xml:space="preserve">subcontract could ever work is an attorney question — do not improvise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Technical controls you will be asked about and that are free to adopt:</w:t>
      </w:r>
      <w:r>
        <w:t xml:space="preserve"> </w:t>
      </w:r>
      <w:r>
        <w:t xml:space="preserve">encryption at rest and</w:t>
      </w:r>
      <w:r>
        <w:t xml:space="preserve"> </w:t>
      </w:r>
      <w:r>
        <w:t xml:space="preserve">in transit (FIPS 140-2/140-3 — the State’s own standard), MFA everywhere, no county data on</w:t>
      </w:r>
      <w:r>
        <w:t xml:space="preserve"> </w:t>
      </w:r>
      <w:r>
        <w:t xml:space="preserve">personal devices or removable media, one defined storage location, access logging, US-only</w:t>
      </w:r>
      <w:r>
        <w:t xml:space="preserve"> </w:t>
      </w:r>
      <w:r>
        <w:t xml:space="preserve">residency.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Defined retention and certified destruction.</w:t>
      </w:r>
      <w:r>
        <w:t xml:space="preserve"> </w:t>
      </w:r>
      <w:r>
        <w:t xml:space="preserve">Specify how long you hold it, destroy on</w:t>
      </w:r>
      <w:r>
        <w:t xml:space="preserve"> </w:t>
      </w:r>
      <w:r>
        <w:t xml:space="preserve">schedule, certify in writing to the county. Data you no longer hold cannot be disclosed by you.</w:t>
      </w:r>
      <w:r>
        <w:t xml:space="preserve"> </w:t>
      </w:r>
      <w:r>
        <w:t xml:space="preserve">This is the cheapest risk reduction available and finance directors notice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Annual training, documented.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Contract structure</w:t>
      </w:r>
      <w:r>
        <w:t xml:space="preserve"> </w:t>
      </w:r>
      <w:r>
        <w:t xml:space="preserve">— mutual indemnification; an affirmative obligation on the county to limit</w:t>
      </w:r>
      <w:r>
        <w:t xml:space="preserve"> </w:t>
      </w:r>
      <w:r>
        <w:t xml:space="preserve">its transfer to the § 67-1-1704(e) fields; limitation of liability tied to fees; incident-</w:t>
      </w:r>
      <w:r>
        <w:t xml:space="preserve"> </w:t>
      </w:r>
      <w:r>
        <w:t xml:space="preserve">notification timelines running both ways. Have a Tennessee attorney draft this.</w:t>
      </w:r>
    </w:p>
    <w:p>
      <w:r>
        <w:pict>
          <v:rect style="width:0;height:1.5pt" o:hralign="center" o:hrstd="t" o:hr="t"/>
        </w:pict>
      </w:r>
    </w:p>
    <w:bookmarkEnd w:id="27"/>
    <w:bookmarkStart w:id="28" w:name="flags-for-professional-sign-off"/>
    <w:p>
      <w:pPr>
        <w:pStyle w:val="Heading2"/>
      </w:pPr>
      <w:r>
        <w:t xml:space="preserve">Flags for professional sign-off</w:t>
      </w:r>
    </w:p>
    <w:p>
      <w:pPr>
        <w:pStyle w:val="FirstParagraph"/>
      </w:pPr>
      <w:r>
        <w:rPr>
          <w:bCs/>
          <w:b/>
        </w:rPr>
        <w:t xml:space="preserve">A Tennessee attorney should confirm:</w:t>
      </w:r>
      <w:r>
        <w:t xml:space="preserve"> </w:t>
      </w:r>
      <w:r>
        <w:t xml:space="preserve">whether § 67-1-1709 can be charged against Civvix Inc. as a</w:t>
      </w:r>
      <w:r>
        <w:t xml:space="preserve"> </w:t>
      </w:r>
      <w:r>
        <w:t xml:space="preserve">corporate entity and not only against individuals; whether any civil cause of action exists (none</w:t>
      </w:r>
      <w:r>
        <w:t xml:space="preserve"> </w:t>
      </w:r>
      <w:r>
        <w:t xml:space="preserve">appears in Part 17, §§ 67-1-1701 to 1712); whether § 67-1-1704(e) permits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onward disclosure to</w:t>
      </w:r>
      <w:r>
        <w:t xml:space="preserve"> </w:t>
      </w:r>
      <w:r>
        <w:t xml:space="preserve">a subcontractor or cloud processor; and the sole-proprietor analysis under § 47-18-2107, which above</w:t>
      </w:r>
      <w:r>
        <w:t xml:space="preserve"> </w:t>
      </w:r>
      <w:r>
        <w:t xml:space="preserve">is a statutory reading rather than a cited holding.</w:t>
      </w:r>
    </w:p>
    <w:p>
      <w:pPr>
        <w:pStyle w:val="BodyText"/>
      </w:pPr>
      <w:r>
        <w:rPr>
          <w:bCs/>
          <w:b/>
        </w:rPr>
        <w:t xml:space="preserve">One phone call worth making: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Local Government Insurance Pool</w:t>
      </w:r>
      <w:r>
        <w:t xml:space="preserve">, (615) 872-3554 — the risk</w:t>
      </w:r>
      <w:r>
        <w:t xml:space="preserve"> </w:t>
      </w:r>
      <w:r>
        <w:t xml:space="preserve">pool serving Tennessee counties. Ask whether it imposes vendor insurance requirements on member</w:t>
      </w:r>
      <w:r>
        <w:t xml:space="preserve"> </w:t>
      </w:r>
      <w:r>
        <w:t xml:space="preserve">counties’ contractors. Nothing is published, and if Wilson is a member, the pool’s loss-control</w:t>
      </w:r>
      <w:r>
        <w:t xml:space="preserve"> </w:t>
      </w:r>
      <w:r>
        <w:t xml:space="preserve">bulletin may be the real source of whatever the county eventually asks you for.</w:t>
      </w:r>
    </w:p>
    <w:bookmarkEnd w:id="28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and Data Handling for Confidential Situs Data</dc:title>
  <dc:creator>Civvix Inc.</dc:creator>
  <cp:keywords/>
  <dcterms:created xsi:type="dcterms:W3CDTF">2026-09-13T01:43:27Z</dcterms:created>
  <dcterms:modified xsi:type="dcterms:W3CDTF">2026-09-13T01:43:27Z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