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Call Script — TN DOR Financial Control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bCs/>
          <w:b/>
        </w:rPr>
        <w:t xml:space="preserve">Make this call before anything is sent.</w:t>
      </w:r>
      <w:r>
        <w:t xml:space="preserve"> </w:t>
      </w:r>
      <w:r>
        <w:t xml:space="preserve">It costs nothing and it resolves the one question that</w:t>
      </w:r>
      <w:r>
        <w:t xml:space="preserve"> </w:t>
      </w:r>
      <w:r>
        <w:t xml:space="preserve">could restructure the whole engagement.</w:t>
      </w:r>
    </w:p>
    <w:bookmarkStart w:id="20" w:name="the-question-that-was-blocking"/>
    <w:p>
      <w:pPr>
        <w:pStyle w:val="Heading2"/>
      </w:pPr>
      <w:r>
        <w:t xml:space="preserve">The question that was blocking</w:t>
      </w:r>
    </w:p>
    <w:p>
      <w:pPr>
        <w:pStyle w:val="FirstParagraph"/>
      </w:pPr>
      <w:r>
        <w:t xml:space="preserve">Every published description of the situs-report process is written for</w:t>
      </w:r>
      <w:r>
        <w:t xml:space="preserve"> </w:t>
      </w:r>
      <w:r>
        <w:rPr>
          <w:iCs/>
          <w:i/>
        </w:rPr>
        <w:t xml:space="preserve">cities</w:t>
      </w:r>
      <w:r>
        <w:t xml:space="preserve">. MTAS publishes the</w:t>
      </w:r>
      <w:r>
        <w:t xml:space="preserve"> </w:t>
      </w:r>
      <w:r>
        <w:t xml:space="preserve">how-to; TML lobbied for the enabling legislation. CTAS — the county-facing counterpart — does not</w:t>
      </w:r>
      <w:r>
        <w:t xml:space="preserve"> </w:t>
      </w:r>
      <w:r>
        <w:t xml:space="preserve">mention situs verification anywhere. T.C.A. § 67-1-1704(d) says</w:t>
      </w:r>
      <w:r>
        <w:t xml:space="preserve"> </w:t>
      </w:r>
      <w:r>
        <w:t xml:space="preserve">“</w:t>
      </w:r>
      <w:r>
        <w:t xml:space="preserve">unit of local government,</w:t>
      </w:r>
      <w:r>
        <w:t xml:space="preserve">”</w:t>
      </w:r>
      <w:r>
        <w:t xml:space="preserve"> </w:t>
      </w:r>
      <w:r>
        <w:t xml:space="preserve">which</w:t>
      </w:r>
      <w:r>
        <w:t xml:space="preserve"> </w:t>
      </w:r>
      <w:r>
        <w:t xml:space="preserve">plainly includes counties, but no instance of a county pulling a situs report had been found.</w:t>
      </w:r>
    </w:p>
    <w:p>
      <w:pPr>
        <w:pStyle w:val="BodyText"/>
      </w:pPr>
      <w:r>
        <w:rPr>
          <w:bCs/>
          <w:b/>
        </w:rPr>
        <w:t xml:space="preserve">That gap has now substantially closed.</w:t>
      </w:r>
      <w:r>
        <w:t xml:space="preserve"> </w:t>
      </w:r>
      <w:r>
        <w:t xml:space="preserve">Knox County Procurement</w:t>
      </w:r>
      <w:r>
        <w:t xml:space="preserve"> </w:t>
      </w:r>
      <w:r>
        <w:rPr>
          <w:bCs/>
          <w:b/>
        </w:rPr>
        <w:t xml:space="preserve">RFP #2969,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Tax Consulting</w:t>
      </w:r>
      <w:r>
        <w:rPr>
          <w:bCs/>
          <w:b/>
        </w:rPr>
        <w:t xml:space="preserve"> </w:t>
      </w:r>
      <w:r>
        <w:rPr>
          <w:bCs/>
          <w:b/>
        </w:rPr>
        <w:t xml:space="preserve">Services,</w:t>
      </w:r>
      <w:r>
        <w:rPr>
          <w:bCs/>
          <w:b/>
        </w:rPr>
        <w:t xml:space="preserve">”</w:t>
      </w:r>
      <w:r>
        <w:t xml:space="preserve"> </w:t>
      </w:r>
      <w:r>
        <w:t xml:space="preserve">solicits exactly this work: audit the situs reports of local governments, identify</w:t>
      </w:r>
      <w:r>
        <w:t xml:space="preserve"> </w:t>
      </w:r>
      <w:r>
        <w:t xml:space="preserve">taxpayers whose situs code belongs in Knox County but whose collections were reported elsewhere,</w:t>
      </w:r>
      <w:r>
        <w:t xml:space="preserve"> </w:t>
      </w:r>
      <w:r>
        <w:t xml:space="preserve">prepare correspondence, coordinate with the Department of Revenue, report to Knox County Finance.</w:t>
      </w:r>
      <w:r>
        <w:t xml:space="preserve"> </w:t>
      </w:r>
      <w:r>
        <w:t xml:space="preserve">A Tennessee county has procured a county-level situs audit. Ask the confirming question anyway, but</w:t>
      </w:r>
      <w:r>
        <w:t xml:space="preserve"> </w:t>
      </w:r>
      <w:r>
        <w:t xml:space="preserve">ask it from a position of knowledge.</w:t>
      </w:r>
    </w:p>
    <w:bookmarkEnd w:id="20"/>
    <w:bookmarkStart w:id="21" w:name="ask-in-this-order"/>
    <w:p>
      <w:pPr>
        <w:pStyle w:val="Heading2"/>
      </w:pPr>
      <w:r>
        <w:t xml:space="preserve">Ask, in this order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We’re a Tennessee county finance office setting up REP access for a situs report under</w:t>
      </w:r>
      <w:r>
        <w:rPr>
          <w:bCs/>
          <w:b/>
        </w:rPr>
        <w:t xml:space="preserve"> </w:t>
      </w:r>
      <w:r>
        <w:rPr>
          <w:bCs/>
          <w:b/>
        </w:rPr>
        <w:t xml:space="preserve">§ 67-1-1704(d). What’s the process, and is there anything different about a county request versus</w:t>
      </w:r>
      <w:r>
        <w:rPr>
          <w:bCs/>
          <w:b/>
        </w:rPr>
        <w:t xml:space="preserve"> </w:t>
      </w:r>
      <w:r>
        <w:rPr>
          <w:bCs/>
          <w:b/>
        </w:rPr>
        <w:t xml:space="preserve">a city request?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Listen for hesitation. If they say they’ve never done one for a county, cite Knox County RFP</w:t>
      </w:r>
      <w:r>
        <w:rPr>
          <w:iCs/>
          <w:i/>
        </w:rPr>
        <w:t xml:space="preserve"> </w:t>
      </w:r>
      <w:r>
        <w:rPr>
          <w:iCs/>
          <w:i/>
        </w:rPr>
        <w:t xml:space="preserve">#2969 as evidence the work is being procured at county level, and ask what the county needs to</w:t>
      </w:r>
      <w:r>
        <w:rPr>
          <w:iCs/>
          <w:i/>
        </w:rPr>
        <w:t xml:space="preserve"> </w:t>
      </w:r>
      <w:r>
        <w:rPr>
          <w:iCs/>
          <w:i/>
        </w:rPr>
        <w:t xml:space="preserve">file.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What’s the authority for the one-year correction lookback — is that statutory or Department</w:t>
      </w:r>
      <w:r>
        <w:rPr>
          <w:bCs/>
          <w:b/>
        </w:rPr>
        <w:t xml:space="preserve"> </w:t>
      </w:r>
      <w:r>
        <w:rPr>
          <w:bCs/>
          <w:b/>
        </w:rPr>
        <w:t xml:space="preserve">policy?</w:t>
      </w:r>
      <w:r>
        <w:rPr>
          <w:bCs/>
          <w:b/>
        </w:rPr>
        <w:t xml:space="preserve">”</w:t>
      </w:r>
      <w:r>
        <w:t xml:space="preserve"> </w:t>
      </w:r>
      <w:r>
        <w:t xml:space="preserve">MTAS states the Department corrects back only one year from notification.</w:t>
      </w:r>
      <w:r>
        <w:t xml:space="preserve"> </w:t>
      </w:r>
      <w:r>
        <w:rPr>
          <w:bCs/>
          <w:b/>
        </w:rPr>
        <w:t xml:space="preserve">No statutory basis</w:t>
      </w:r>
      <w:r>
        <w:rPr>
          <w:bCs/>
          <w:b/>
        </w:rPr>
        <w:t xml:space="preserve"> </w:t>
      </w:r>
      <w:r>
        <w:rPr>
          <w:bCs/>
          <w:b/>
        </w:rPr>
        <w:t xml:space="preserve">has been found.</w:t>
      </w:r>
      <w:r>
        <w:t xml:space="preserve"> </w:t>
      </w:r>
      <w:r>
        <w:t xml:space="preserve">If they cite a statute, get the section. If they cite policy, ask what the</w:t>
      </w:r>
      <w:r>
        <w:t xml:space="preserve"> </w:t>
      </w:r>
      <w:r>
        <w:t xml:space="preserve">exception process is. This materially changes the value of a first engagement, because the</w:t>
      </w:r>
      <w:r>
        <w:t xml:space="preserve"> </w:t>
      </w:r>
      <w:r>
        <w:t xml:space="preserve">back-money is where the first year’s value sits.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We’ll be using an outside contractor under § 67-1-1704(e). Does the Department require the</w:t>
      </w:r>
      <w:r>
        <w:rPr>
          <w:bCs/>
          <w:b/>
        </w:rPr>
        <w:t xml:space="preserve"> </w:t>
      </w:r>
      <w:r>
        <w:rPr>
          <w:bCs/>
          <w:b/>
        </w:rPr>
        <w:t xml:space="preserve">contractor to be formally designated? Is there a form? What documentation should the county</w:t>
      </w:r>
      <w:r>
        <w:rPr>
          <w:bCs/>
          <w:b/>
        </w:rPr>
        <w:t xml:space="preserve"> </w:t>
      </w:r>
      <w:r>
        <w:rPr>
          <w:bCs/>
          <w:b/>
        </w:rPr>
        <w:t xml:space="preserve">retain?</w:t>
      </w:r>
      <w:r>
        <w:rPr>
          <w:bCs/>
          <w:b/>
        </w:rPr>
        <w:t xml:space="preserve">”</w:t>
      </w:r>
      <w:r>
        <w:t xml:space="preserve"> </w:t>
      </w:r>
      <w:r>
        <w:t xml:space="preserve">Unknown mechanics. Ask in the same call.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Is there a machine-readable situs-code table and current field definitions for the report?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For a business whose registration shows a PO Box or a mailing address in one jurisdiction and</w:t>
      </w:r>
      <w:r>
        <w:rPr>
          <w:bCs/>
          <w:b/>
        </w:rPr>
        <w:t xml:space="preserve"> </w:t>
      </w:r>
      <w:r>
        <w:rPr>
          <w:bCs/>
          <w:b/>
        </w:rPr>
        <w:t xml:space="preserve">a physical location in another, what does the Department treat as controlling for situs?</w:t>
      </w:r>
      <w:r>
        <w:rPr>
          <w:bCs/>
          <w:b/>
        </w:rPr>
        <w:t xml:space="preserve">”</w:t>
      </w:r>
      <w:r>
        <w:t xml:space="preserve"> </w:t>
      </w:r>
      <w:r>
        <w:t xml:space="preserve">§ 67-6-903 sources to the seller’s</w:t>
      </w:r>
      <w:r>
        <w:t xml:space="preserve"> </w:t>
      </w:r>
      <w:r>
        <w:t xml:space="preserve">“</w:t>
      </w:r>
      <w:r>
        <w:t xml:space="preserve">place of business,</w:t>
      </w:r>
      <w:r>
        <w:t xml:space="preserve">”</w:t>
      </w:r>
      <w:r>
        <w:t xml:space="preserve"> </w:t>
      </w:r>
      <w:r>
        <w:t xml:space="preserve">which should mean the physical location,</w:t>
      </w:r>
      <w:r>
        <w:t xml:space="preserve"> </w:t>
      </w:r>
      <w:r>
        <w:t xml:space="preserve">but no DOR guidance expressly addressing PO Boxes was found. Four of Wilson County’s ZIPs are</w:t>
      </w:r>
      <w:r>
        <w:t xml:space="preserve"> </w:t>
      </w:r>
      <w:r>
        <w:t xml:space="preserve">PO-Box-only. This is the single most useful substantive answer available on this call.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Which local jurisdiction receives a contractor’s use tax?</w:t>
      </w:r>
      <w:r>
        <w:rPr>
          <w:bCs/>
          <w:b/>
        </w:rPr>
        <w:t xml:space="preserve">”</w:t>
      </w:r>
      <w:r>
        <w:t xml:space="preserve"> </w:t>
      </w:r>
      <w:r>
        <w:t xml:space="preserve">§ 67-6-209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govern this — it covers property produced or severed from the earth and</w:t>
      </w:r>
      <w:r>
        <w:t xml:space="preserve"> </w:t>
      </w:r>
      <w:r>
        <w:t xml:space="preserve">expressly excludes ordinary construction contractors. No statute or rule specifying contractor</w:t>
      </w:r>
      <w:r>
        <w:t xml:space="preserve"> </w:t>
      </w:r>
      <w:r>
        <w:t xml:space="preserve">use-tax situs was located.</w:t>
      </w:r>
    </w:p>
    <w:bookmarkEnd w:id="21"/>
    <w:bookmarkStart w:id="22" w:name="Xbbc5d6144cc7f0623233948a3c5811f5cf0cee2"/>
    <w:p>
      <w:pPr>
        <w:pStyle w:val="Heading2"/>
      </w:pPr>
      <w:r>
        <w:t xml:space="preserve">Separate question, for counsel not for DOR</w:t>
      </w:r>
    </w:p>
    <w:p>
      <w:pPr>
        <w:pStyle w:val="FirstParagraph"/>
      </w:pPr>
      <w:r>
        <w:rPr>
          <w:bCs/>
          <w:b/>
        </w:rPr>
        <w:t xml:space="preserve">Can data obtained under § 67-1-1704(e) for County A inform work for County B?</w:t>
      </w:r>
      <w:r>
        <w:t xml:space="preserve"> </w:t>
      </w:r>
      <w:r>
        <w:t xml:space="preserve">The disclosure is</w:t>
      </w:r>
      <w:r>
        <w:t xml:space="preserve"> </w:t>
      </w:r>
      <w:r>
        <w:t xml:space="preserve">authorized</w:t>
      </w:r>
      <w:r>
        <w:t xml:space="preserve"> </w:t>
      </w:r>
      <w:r>
        <w:t xml:space="preserve">“</w:t>
      </w:r>
      <w:r>
        <w:t xml:space="preserve">for the purpose of ascertaining whether allocations … are being distributed to the</w:t>
      </w:r>
      <w:r>
        <w:t xml:space="preserve"> </w:t>
      </w:r>
      <w:r>
        <w:t xml:space="preserve">correct unit of local government</w:t>
      </w:r>
      <w:r>
        <w:t xml:space="preserve">”</w:t>
      </w:r>
      <w:r>
        <w:t xml:space="preserve"> </w:t>
      </w:r>
      <w:r>
        <w:t xml:space="preserve">— arguably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jurisdiction’s allocations. If each county’s</w:t>
      </w:r>
      <w:r>
        <w:t xml:space="preserve"> </w:t>
      </w:r>
      <w:r>
        <w:t xml:space="preserve">roster is siloed, the statewide Civvix asset cannot be assembled from client data and has to come</w:t>
      </w:r>
      <w:r>
        <w:t xml:space="preserve"> </w:t>
      </w:r>
      <w:r>
        <w:t xml:space="preserve">from independent public sources.</w:t>
      </w:r>
      <w:r>
        <w:t xml:space="preserve"> </w:t>
      </w:r>
      <w:r>
        <w:rPr>
          <w:bCs/>
          <w:b/>
        </w:rPr>
        <w:t xml:space="preserve">Resolve this before the second county signs, not after.</w:t>
      </w:r>
    </w:p>
    <w:p>
      <w:pPr>
        <w:pStyle w:val="BodyText"/>
      </w:pPr>
      <w:r>
        <w:rPr>
          <w:iCs/>
          <w:i/>
        </w:rPr>
        <w:t xml:space="preserve">(Note: the prototype in this repository is built entirely from independent public sources, which is</w:t>
      </w:r>
      <w:r>
        <w:rPr>
          <w:iCs/>
          <w:i/>
        </w:rPr>
        <w:t xml:space="preserve"> </w:t>
      </w:r>
      <w:r>
        <w:rPr>
          <w:iCs/>
          <w:i/>
        </w:rPr>
        <w:t xml:space="preserve">one reason to keep it that way. A public-data boundary and exception surface travels between counties</w:t>
      </w:r>
      <w:r>
        <w:rPr>
          <w:iCs/>
          <w:i/>
        </w:rPr>
        <w:t xml:space="preserve"> </w:t>
      </w:r>
      <w:r>
        <w:rPr>
          <w:iCs/>
          <w:i/>
        </w:rPr>
        <w:t xml:space="preserve">without ever raising this question.)</w:t>
      </w:r>
    </w:p>
    <w:bookmarkEnd w:id="22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 Script — TN DOR Financial Control</dc:title>
  <dc:creator>Civvix Inc.</dc:creator>
  <cp:keywords/>
  <dcterms:created xsi:type="dcterms:W3CDTF">2026-09-13T01:43:27Z</dcterms:created>
  <dcterms:modified xsi:type="dcterms:W3CDTF">2026-09-13T01:43:27Z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