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Wilson County GIS — Request, Not Purchase Order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bCs/>
          <w:b/>
        </w:rPr>
        <w:t xml:space="preserve">This replaces the six-layer $450 order.</w:t>
      </w:r>
      <w:r>
        <w:t xml:space="preserve"> </w:t>
      </w:r>
      <w:r>
        <w:t xml:space="preserve">Nothing on that list is needed to begin. What follows</w:t>
      </w:r>
      <w:r>
        <w:t xml:space="preserve"> </w:t>
      </w:r>
      <w:r>
        <w:t xml:space="preserve">asks for the two things that would genuinely improve the work, and asks for them the way a client’s</w:t>
      </w:r>
      <w:r>
        <w:t xml:space="preserve"> </w:t>
      </w:r>
      <w:r>
        <w:t xml:space="preserve">contractor should.</w:t>
      </w:r>
    </w:p>
    <w:p>
      <w:r>
        <w:pict>
          <v:rect style="width:0;height:1.5pt" o:hralign="center" o:hrstd="t" o:hr="t"/>
        </w:pict>
      </w:r>
    </w:p>
    <w:bookmarkStart w:id="20" w:name="X89012208f15f41461eb76a9988ac417e6123f38"/>
    <w:p>
      <w:pPr>
        <w:pStyle w:val="Heading2"/>
      </w:pPr>
      <w:r>
        <w:t xml:space="preserve">Email — to Wilson County GIS / Planning, copying Aaron Maynard</w:t>
      </w:r>
    </w:p>
    <w:p>
      <w:pPr>
        <w:pStyle w:val="BlockText"/>
      </w:pPr>
      <w:r>
        <w:t xml:space="preserve">Subject: GIS layers for the County situs / revenue allocation review</w:t>
      </w:r>
    </w:p>
    <w:p>
      <w:pPr>
        <w:pStyle w:val="BlockText"/>
      </w:pPr>
      <w:r>
        <w:t xml:space="preserve">Good morning —</w:t>
      </w:r>
    </w:p>
    <w:p>
      <w:pPr>
        <w:pStyle w:val="BlockText"/>
      </w:pPr>
      <w:r>
        <w:t xml:space="preserve">Civvix is supporting Aaron Maynard’s office on a local option sales tax situs review for the</w:t>
      </w:r>
      <w:r>
        <w:t xml:space="preserve"> </w:t>
      </w:r>
      <w:r>
        <w:t xml:space="preserve">County. We have already built the geographic baseline from public sources: the Department of</w:t>
      </w:r>
      <w:r>
        <w:t xml:space="preserve"> </w:t>
      </w:r>
      <w:r>
        <w:t xml:space="preserve">Revenue’s tax-rate boundary polygons, the Comptroller’s certified municipal boundaries, the State</w:t>
      </w:r>
      <w:r>
        <w:t xml:space="preserve"> </w:t>
      </w:r>
      <w:r>
        <w:t xml:space="preserve">NG911 address points, and the Wilson County Emergency Communications District’s own published</w:t>
      </w:r>
      <w:r>
        <w:t xml:space="preserve"> </w:t>
      </w:r>
      <w:r>
        <w:t xml:space="preserve">address-point and business-point layers. All 88,196 addresses in the county are placed and</w:t>
      </w:r>
      <w:r>
        <w:t xml:space="preserve"> </w:t>
      </w:r>
      <w:r>
        <w:t xml:space="preserve">measured. We have not needed to purchase anything, and we are not asking the County to spend money.</w:t>
      </w:r>
    </w:p>
    <w:p>
      <w:pPr>
        <w:pStyle w:val="BlockText"/>
      </w:pPr>
      <w:r>
        <w:t xml:space="preserve">Two requests, both of which would improve the work:</w:t>
      </w:r>
    </w:p>
    <w:p>
      <w:pPr>
        <w:pStyle w:val="BlockText"/>
      </w:pPr>
      <w:r>
        <w:rPr>
          <w:bCs/>
          <w:b/>
        </w:rPr>
        <w:t xml:space="preserve">1. Parcel geometry with assessment attributes.</w:t>
      </w:r>
      <w:r>
        <w:t xml:space="preserve"> </w:t>
      </w:r>
      <w:r>
        <w:t xml:space="preserve">We can obtain Wilson County parcels from the</w:t>
      </w:r>
      <w:r>
        <w:t xml:space="preserve"> </w:t>
      </w:r>
      <w:r>
        <w:t xml:space="preserve">Comptroller’s statewide weekly feed, but a copy direct from the County — with the County’s own</w:t>
      </w:r>
      <w:r>
        <w:t xml:space="preserve"> </w:t>
      </w:r>
      <w:r>
        <w:t xml:space="preserve">effective date on it — carries more evidentiary weight if a specific situs finding is later</w:t>
      </w:r>
      <w:r>
        <w:t xml:space="preserve"> </w:t>
      </w:r>
      <w:r>
        <w:t xml:space="preserve">contested by a taxpayer or by a city. We would ask that this be provided as County work product in</w:t>
      </w:r>
      <w:r>
        <w:t xml:space="preserve"> </w:t>
      </w:r>
      <w:r>
        <w:t xml:space="preserve">support of the County’s own revenue review rather than as a data sale.</w:t>
      </w:r>
    </w:p>
    <w:p>
      <w:pPr>
        <w:pStyle w:val="BlockText"/>
      </w:pPr>
      <w:r>
        <w:rPr>
          <w:bCs/>
          <w:b/>
        </w:rPr>
        <w:t xml:space="preserve">2. Boundary currency, which no file can tell us.</w:t>
      </w:r>
      <w:r>
        <w:t xml:space="preserve"> </w:t>
      </w:r>
      <w:r>
        <w:t xml:space="preserve">For Lebanon, Mt. Juliet and Watertown, we</w:t>
      </w:r>
      <w:r>
        <w:t xml:space="preserve"> </w:t>
      </w:r>
      <w:r>
        <w:t xml:space="preserve">need the effective date of the city-limit geometry the County holds, and notice of</w:t>
      </w:r>
      <w:r>
        <w:t xml:space="preserve"> </w:t>
      </w:r>
      <w:r>
        <w:rPr>
          <w:bCs/>
          <w:b/>
        </w:rPr>
        <w:t xml:space="preserve">any annexation</w:t>
      </w:r>
      <w:r>
        <w:rPr>
          <w:bCs/>
          <w:b/>
        </w:rPr>
        <w:t xml:space="preserve"> </w:t>
      </w:r>
      <w:r>
        <w:rPr>
          <w:bCs/>
          <w:b/>
        </w:rPr>
        <w:t xml:space="preserve">or deannexation adopted by ordinance but not yet reflected in delivered geometry.</w:t>
      </w:r>
      <w:r>
        <w:t xml:space="preserve"> </w:t>
      </w:r>
      <w:r>
        <w:t xml:space="preserve">This is the</w:t>
      </w:r>
      <w:r>
        <w:t xml:space="preserve"> </w:t>
      </w:r>
      <w:r>
        <w:t xml:space="preserve">single most valuable thing the County can give us and it is not a file — it is knowledge. A</w:t>
      </w:r>
      <w:r>
        <w:t xml:space="preserve"> </w:t>
      </w:r>
      <w:r>
        <w:t xml:space="preserve">situs assignment that is correct against last year’s boundary is wrong today.</w:t>
      </w:r>
    </w:p>
    <w:p>
      <w:pPr>
        <w:pStyle w:val="BlockText"/>
      </w:pPr>
      <w:r>
        <w:t xml:space="preserve">File Geodatabase is preferred over shapefile where available, as it preserves field names and</w:t>
      </w:r>
      <w:r>
        <w:t xml:space="preserve"> </w:t>
      </w:r>
      <w:r>
        <w:t xml:space="preserve">types. If shapefile is what you have, that is fine.</w:t>
      </w:r>
    </w:p>
    <w:p>
      <w:pPr>
        <w:pStyle w:val="BlockText"/>
      </w:pPr>
      <w:r>
        <w:t xml:space="preserve">Happy to share what we have built so you can see how the County’s data would be used.</w:t>
      </w:r>
    </w:p>
    <w:p>
      <w:r>
        <w:pict>
          <v:rect style="width:0;height:1.5pt" o:hralign="center" o:hrstd="t" o:hr="t"/>
        </w:pict>
      </w:r>
    </w:p>
    <w:bookmarkEnd w:id="20"/>
    <w:bookmarkStart w:id="21" w:name="notes-for-internal-use-do-not-send"/>
    <w:p>
      <w:pPr>
        <w:pStyle w:val="Heading2"/>
      </w:pPr>
      <w:r>
        <w:t xml:space="preserve">Notes for internal use — do not send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not open by asking for a fee waiver.</w:t>
      </w:r>
      <w:r>
        <w:t xml:space="preserve"> </w:t>
      </w:r>
      <w:r>
        <w:t xml:space="preserve">Ask for the layers as County work product. The fee</w:t>
      </w:r>
      <w:r>
        <w:t xml:space="preserve"> </w:t>
      </w:r>
      <w:r>
        <w:t xml:space="preserve">provision at T.C.A. § 10-7-506(c) is triggered by a</w:t>
      </w:r>
      <w:r>
        <w:t xml:space="preserve"> </w:t>
      </w:r>
      <w:r>
        <w:rPr>
          <w:iCs/>
          <w:i/>
        </w:rPr>
        <w:t xml:space="preserve">request for a copy of a public record</w:t>
      </w:r>
      <w:r>
        <w:t xml:space="preserve">; a</w:t>
      </w:r>
      <w:r>
        <w:t xml:space="preserve"> </w:t>
      </w:r>
      <w:r>
        <w:t xml:space="preserve">county GIS department supporting a county finance review is internal data sharing, and the</w:t>
      </w:r>
      <w:r>
        <w:t xml:space="preserve"> </w:t>
      </w:r>
      <w:r>
        <w:t xml:space="preserve">statute has no purchase on it. Framing it as a waiver invites the answer</w:t>
      </w:r>
      <w:r>
        <w:t xml:space="preserve"> </w:t>
      </w:r>
      <w:r>
        <w:t xml:space="preserve">“</w:t>
      </w:r>
      <w:r>
        <w:t xml:space="preserve">we can’t waive without</w:t>
      </w:r>
      <w:r>
        <w:t xml:space="preserve"> </w:t>
      </w:r>
      <w:r>
        <w:t xml:space="preserve">a written policy.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they quote the $75/layer price anyway</w:t>
      </w:r>
      <w:r>
        <w:t xml:space="preserve">, that price is legally defensible and arguing about</w:t>
      </w:r>
      <w:r>
        <w:t xml:space="preserve"> </w:t>
      </w:r>
      <w:r>
        <w:t xml:space="preserve">it is a losing position. Escalate to Aaron instead — it is his department’s budget either way, and</w:t>
      </w:r>
      <w:r>
        <w:t xml:space="preserve"> </w:t>
      </w:r>
      <w:r>
        <w:t xml:space="preserve">the circularity argument is his to make, not yours.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send a records request on Civvix letterhead.</w:t>
      </w:r>
      <w:r>
        <w:t xml:space="preserve"> </w:t>
      </w:r>
      <w:r>
        <w:t xml:space="preserve">OORC Advisory Opinion 15-01: corporations</w:t>
      </w:r>
      <w:r>
        <w:t xml:space="preserve"> </w:t>
      </w:r>
      <w:r>
        <w:t xml:space="preserve">are not</w:t>
      </w:r>
      <w:r>
        <w:t xml:space="preserve"> </w:t>
      </w:r>
      <w:r>
        <w:t xml:space="preserve">“</w:t>
      </w:r>
      <w:r>
        <w:t xml:space="preserve">citizens</w:t>
      </w:r>
      <w:r>
        <w:t xml:space="preserve">”</w:t>
      </w:r>
      <w:r>
        <w:t xml:space="preserve"> </w:t>
      </w:r>
      <w:r>
        <w:t xml:space="preserve">and have no standing under the Tennessee Public Records Act. Any TPRA request</w:t>
      </w:r>
      <w:r>
        <w:t xml:space="preserve"> </w:t>
      </w:r>
      <w:r>
        <w:t xml:space="preserve">must go out in the name of a named Tennessee-resident individual.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you do end up buying</w:t>
      </w:r>
      <w:r>
        <w:t xml:space="preserve">, cite OORC Advisory Opinion 09-02 and decline any licence agreement —</w:t>
      </w:r>
      <w:r>
        <w:t xml:space="preserve"> </w:t>
      </w:r>
      <w:r>
        <w:t xml:space="preserve">a GIS custodian cannot condition the sale on one. That turns a recurring licence into a one-time</w:t>
      </w:r>
      <w:r>
        <w:t xml:space="preserve"> </w:t>
      </w:r>
      <w:r>
        <w:t xml:space="preserve">purchase.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not to ask for, and why:</w:t>
      </w:r>
      <w:r>
        <w:t xml:space="preserve"> </w:t>
      </w:r>
      <w:r>
        <w:t xml:space="preserve">zoning, water bodies, railroads, contours, subdivisions,</w:t>
      </w:r>
      <w:r>
        <w:t xml:space="preserve"> </w:t>
      </w:r>
      <w:r>
        <w:t xml:space="preserve">commission districts, the thoroughfare plan, and the 2009 building footprints. The footprints in</w:t>
      </w:r>
      <w:r>
        <w:t xml:space="preserve"> </w:t>
      </w:r>
      <w:r>
        <w:t xml:space="preserve">particular are 17 years old; Overture Maps publishes conflated building footprints refreshed</w:t>
      </w:r>
      <w:r>
        <w:t xml:space="preserve"> </w:t>
      </w:r>
      <w:r>
        <w:t xml:space="preserve">monthly, free, under ODbL, and its August 2026 release is current.</w:t>
      </w:r>
    </w:p>
    <w:bookmarkEnd w:id="21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County GIS — Request, Not Purchase Order</dc:title>
  <dc:creator>Civvix Inc.</dc:creator>
  <cp:keywords/>
  <dcterms:created xsi:type="dcterms:W3CDTF">2026-09-13T01:43:27Z</dcterms:created>
  <dcterms:modified xsi:type="dcterms:W3CDTF">2026-09-13T01:43:27Z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