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DOR Situs Data Request — Ready to Send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bCs/>
          <w:b/>
        </w:rPr>
        <w:t xml:space="preserve">Send from:</w:t>
      </w:r>
      <w:r>
        <w:t xml:space="preserve"> </w:t>
      </w:r>
      <w:r>
        <w:t xml:space="preserve">Aaron Maynard, Finance Director, Wilson County, Tennessee</w:t>
      </w:r>
      <w:r>
        <w:t xml:space="preserve"> </w:t>
      </w:r>
      <w:r>
        <w:rPr>
          <w:bCs/>
          <w:b/>
        </w:rPr>
        <w:t xml:space="preserve">To:</w:t>
      </w:r>
      <w:r>
        <w:t xml:space="preserve"> </w:t>
      </w:r>
      <w:r>
        <w:t xml:space="preserve">Tennessee Department of Revenue, Financial Control Division —</w:t>
      </w:r>
      <w:r>
        <w:t xml:space="preserve"> </w:t>
      </w:r>
      <w:r>
        <w:t xml:space="preserve">revenue.financialcontrol@tn.gov · (615) 532-8944</w:t>
      </w:r>
      <w:r>
        <w:t xml:space="preserve"> </w:t>
      </w:r>
      <w:r>
        <w:rPr>
          <w:bCs/>
          <w:b/>
        </w:rPr>
        <w:t xml:space="preserve">Authority:</w:t>
      </w:r>
      <w:r>
        <w:t xml:space="preserve"> </w:t>
      </w:r>
      <w:r>
        <w:t xml:space="preserve">Tenn. Code Ann. § 67-1-1704(d)</w:t>
      </w:r>
      <w:r>
        <w:t xml:space="preserve"> </w:t>
      </w:r>
      <w:r>
        <w:rPr>
          <w:bCs/>
          <w:b/>
        </w:rPr>
        <w:t xml:space="preserve">Portal:</w:t>
      </w:r>
      <w:r>
        <w:t xml:space="preserve"> </w:t>
      </w:r>
      <w:r>
        <w:t xml:space="preserve">Revenue External Portal, tntap.tn.gov/rep</w:t>
      </w:r>
    </w:p>
    <w:p>
      <w:pPr>
        <w:pStyle w:val="BlockText"/>
      </w:pPr>
      <w:r>
        <w:rPr>
          <w:iCs/>
          <w:i/>
        </w:rPr>
        <w:t xml:space="preserve">Make the Financial Control call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03-FINANCIAL-CONTROL-CALL-SCRIPT.md</w:t>
      </w:r>
      <w:r>
        <w:rPr>
          <w:iCs/>
          <w:i/>
        </w:rPr>
        <w:t xml:space="preserve"> </w:t>
      </w:r>
      <w:r>
        <w:rPr>
          <w:iCs/>
          <w:i/>
        </w:rPr>
        <w:t xml:space="preserve">first. Two answers from</w:t>
      </w:r>
      <w:r>
        <w:rPr>
          <w:iCs/>
          <w:i/>
        </w:rPr>
        <w:t xml:space="preserve"> </w:t>
      </w:r>
      <w:r>
        <w:rPr>
          <w:iCs/>
          <w:i/>
        </w:rPr>
        <w:t xml:space="preserve">that call — the contractor-designation mechanics and the lookback authority — may change what goes</w:t>
      </w:r>
      <w:r>
        <w:rPr>
          <w:iCs/>
          <w:i/>
        </w:rPr>
        <w:t xml:space="preserve"> </w:t>
      </w:r>
      <w:r>
        <w:rPr>
          <w:iCs/>
          <w:i/>
        </w:rPr>
        <w:t xml:space="preserve">in sections 5 and 6 below.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Wilson County is conducting a systematic review to ascertain whether allocations from state- and</w:t>
      </w:r>
      <w:r>
        <w:t xml:space="preserve"> </w:t>
      </w:r>
      <w:r>
        <w:t xml:space="preserve">local-levied taxes are being distributed to the correct unit of local government. The County has</w:t>
      </w:r>
      <w:r>
        <w:t xml:space="preserve"> </w:t>
      </w:r>
      <w:r>
        <w:t xml:space="preserve">already completed the geographic phase of this work using public data: every address point in Wilson</w:t>
      </w:r>
      <w:r>
        <w:t xml:space="preserve"> </w:t>
      </w:r>
      <w:r>
        <w:t xml:space="preserve">County has been placed within the Department’s published sales tax rate boundary polygons in</w:t>
      </w:r>
      <w:r>
        <w:t xml:space="preserve"> </w:t>
      </w:r>
      <w:r>
        <w:t xml:space="preserve">Tennessee State Plane coordinates, compared against the Comptroller’s certified municipal boundaries</w:t>
      </w:r>
      <w:r>
        <w:t xml:space="preserve"> </w:t>
      </w:r>
      <w:r>
        <w:t xml:space="preserve">and the State NG911 address file, and measured in feet against every jurisdictional boundary</w:t>
      </w:r>
      <w:r>
        <w:t xml:space="preserve"> </w:t>
      </w:r>
      <w:r>
        <w:t xml:space="preserve">touching the County. The County is now requesting the taxpayer situs information necessary to</w:t>
      </w:r>
      <w:r>
        <w:t xml:space="preserve"> </w:t>
      </w:r>
      <w:r>
        <w:t xml:space="preserve">complete the review.</w:t>
      </w:r>
    </w:p>
    <w:bookmarkStart w:id="20" w:name="zip-code-universe"/>
    <w:p>
      <w:pPr>
        <w:pStyle w:val="Heading2"/>
      </w:pPr>
      <w:r>
        <w:t xml:space="preserve">1. ZIP code universe</w:t>
      </w:r>
    </w:p>
    <w:p>
      <w:pPr>
        <w:pStyle w:val="FirstParagraph"/>
      </w:pPr>
      <w:r>
        <w:rPr>
          <w:bCs/>
          <w:b/>
        </w:rPr>
        <w:t xml:space="preserve">Tier 1 — ZIP codes wholly or partly within Wilson County, including the County’s PO-Box-only ZIPs</w:t>
      </w:r>
      <w:r>
        <w:t xml:space="preserve"> </w:t>
      </w:r>
      <w:r>
        <w:t xml:space="preserve">37012, 37016, 37071, 37085, 37087, 37088, 37090, 37095, 37118, 37121, 37122, 37136, 37138, 37184</w:t>
      </w:r>
      <w:r>
        <w:t xml:space="preserve"> </w:t>
      </w:r>
      <w:r>
        <w:rPr>
          <w:iCs/>
          <w:i/>
        </w:rPr>
        <w:t xml:space="preserve">(14 ZIPs)</w:t>
      </w:r>
    </w:p>
    <w:p>
      <w:pPr>
        <w:pStyle w:val="BodyText"/>
      </w:pPr>
      <w:r>
        <w:rPr>
          <w:bCs/>
          <w:b/>
        </w:rPr>
        <w:t xml:space="preserve">Tier 2 — the first surrounding ring</w:t>
      </w:r>
      <w:r>
        <w:t xml:space="preserve"> </w:t>
      </w:r>
      <w:r>
        <w:t xml:space="preserve">37030, 37031, 37057, 37059, 37066, 37074, 37075, 37076, 37086, 37115, 37129, 37130, 37149, 37151,</w:t>
      </w:r>
      <w:r>
        <w:t xml:space="preserve"> </w:t>
      </w:r>
      <w:r>
        <w:t xml:space="preserve">37166, 37167, 37190, 38547, 38563, 38567, 38569</w:t>
      </w:r>
      <w:r>
        <w:t xml:space="preserve"> </w:t>
      </w:r>
      <w:r>
        <w:rPr>
          <w:iCs/>
          <w:i/>
        </w:rPr>
        <w:t xml:space="preserve">(21 ZIPs)</w:t>
      </w:r>
    </w:p>
    <w:p>
      <w:pPr>
        <w:pStyle w:val="BodyText"/>
      </w:pPr>
      <w:r>
        <w:rPr>
          <w:bCs/>
          <w:b/>
        </w:rPr>
        <w:t xml:space="preserve">Total requested: 35 ZIP codes.</w:t>
      </w:r>
    </w:p>
    <w:p>
      <w:pPr>
        <w:pStyle w:val="BodyText"/>
      </w:pPr>
      <w:r>
        <w:t xml:space="preserve">Tier 2 comprises the ZIP areas immediately adjoining the geographic ZIPs that intersect Wilson</w:t>
      </w:r>
      <w:r>
        <w:t xml:space="preserve"> </w:t>
      </w:r>
      <w:r>
        <w:t xml:space="preserve">County. They are requested because incorrect situs assignment arises overwhelmingly from</w:t>
      </w:r>
      <w:r>
        <w:t xml:space="preserve"> </w:t>
      </w:r>
      <w:r>
        <w:t xml:space="preserve">postal-address convention rather than from taxpayer error, and the error is therefore concentrated</w:t>
      </w:r>
      <w:r>
        <w:t xml:space="preserve"> </w:t>
      </w:r>
      <w:r>
        <w:t xml:space="preserve">in exactly this ring.</w:t>
      </w:r>
    </w:p>
    <w:p>
      <w:pPr>
        <w:pStyle w:val="BodyText"/>
      </w:pPr>
      <w:r>
        <w:rPr>
          <w:bCs/>
          <w:b/>
        </w:rPr>
        <w:t xml:space="preserve">The County can be specific about why.</w:t>
      </w:r>
      <w:r>
        <w:t xml:space="preserve"> </w:t>
      </w:r>
      <w:r>
        <w:t xml:space="preserve">Its geographic review identified</w:t>
      </w:r>
      <w:r>
        <w:t xml:space="preserve"> </w:t>
      </w:r>
      <w:r>
        <w:rPr>
          <w:bCs/>
          <w:b/>
        </w:rPr>
        <w:t xml:space="preserve">5,149 address points</w:t>
      </w:r>
      <w:r>
        <w:rPr>
          <w:bCs/>
          <w:b/>
        </w:rPr>
        <w:t xml:space="preserve"> </w:t>
      </w:r>
      <w:r>
        <w:rPr>
          <w:bCs/>
          <w:b/>
        </w:rPr>
        <w:t xml:space="preserve">physically inside Wilson County whose USPS postal city belongs to another county</w:t>
      </w:r>
      <w:r>
        <w:t xml:space="preserve"> </w:t>
      </w:r>
      <w:r>
        <w:t xml:space="preserve">— principally the</w:t>
      </w:r>
      <w:r>
        <w:t xml:space="preserve"> </w:t>
      </w:r>
      <w:r>
        <w:t xml:space="preserve">Old Hickory and Hermitage delivery areas of Davidson County along the Lebanon Road corridor in ZIP</w:t>
      </w:r>
      <w:r>
        <w:t xml:space="preserve"> </w:t>
      </w:r>
      <w:r>
        <w:t xml:space="preserve">37138, and the Lascassas and Milton areas of Rutherford County. A taxpayer at one of these addresses</w:t>
      </w:r>
      <w:r>
        <w:t xml:space="preserve"> </w:t>
      </w:r>
      <w:r>
        <w:t xml:space="preserve">who registers using the address as it appears on their mail will be coded outside Wilson County.</w:t>
      </w:r>
      <w:r>
        <w:t xml:space="preserve"> </w:t>
      </w:r>
      <w:r>
        <w:t xml:space="preserve">Reviewing the surrounding ring is the only way to identify those registrations.</w:t>
      </w:r>
    </w:p>
    <w:p>
      <w:pPr>
        <w:pStyle w:val="BodyText"/>
      </w:pPr>
      <w:r>
        <w:t xml:space="preserve">If the Department determines that a particular Tier 2 ZIP falls outside its ordinary</w:t>
      </w:r>
      <w:r>
        <w:t xml:space="preserve"> </w:t>
      </w:r>
      <w:r>
        <w:t xml:space="preserve">adjacent-jurisdiction production standard, the County requests that the Department either (a) include</w:t>
      </w:r>
      <w:r>
        <w:t xml:space="preserve"> </w:t>
      </w:r>
      <w:r>
        <w:t xml:space="preserve">it on the justification above, or (b)</w:t>
      </w:r>
      <w:r>
        <w:t xml:space="preserve"> </w:t>
      </w:r>
      <w:r>
        <w:rPr>
          <w:bCs/>
          <w:b/>
        </w:rPr>
        <w:t xml:space="preserve">identify the specific ZIPs requiring further factual</w:t>
      </w:r>
      <w:r>
        <w:rPr>
          <w:bCs/>
          <w:b/>
        </w:rPr>
        <w:t xml:space="preserve"> </w:t>
      </w:r>
      <w:r>
        <w:rPr>
          <w:bCs/>
          <w:b/>
        </w:rPr>
        <w:t xml:space="preserve">justification</w:t>
      </w:r>
      <w:r>
        <w:t xml:space="preserve">, so that the County may supplement rather than resubmit.</w:t>
      </w:r>
    </w:p>
    <w:bookmarkEnd w:id="20"/>
    <w:bookmarkStart w:id="21" w:name="situs-codes"/>
    <w:p>
      <w:pPr>
        <w:pStyle w:val="Heading2"/>
      </w:pPr>
      <w:r>
        <w:t xml:space="preserve">2. Situs codes</w:t>
      </w:r>
    </w:p>
    <w:p>
      <w:pPr>
        <w:pStyle w:val="FirstParagraph"/>
      </w:pPr>
      <w:r>
        <w:t xml:space="preserve">All Wilson County situs codes:</w:t>
      </w:r>
      <w:r>
        <w:t xml:space="preserve"> </w:t>
      </w:r>
      <w:r>
        <w:rPr>
          <w:bCs/>
          <w:b/>
        </w:rPr>
        <w:t xml:space="preserve">9500</w:t>
      </w:r>
      <w:r>
        <w:t xml:space="preserve"> </w:t>
      </w:r>
      <w:r>
        <w:t xml:space="preserve">(unincorporated),</w:t>
      </w:r>
      <w:r>
        <w:t xml:space="preserve"> </w:t>
      </w:r>
      <w:r>
        <w:rPr>
          <w:bCs/>
          <w:b/>
        </w:rPr>
        <w:t xml:space="preserve">9501</w:t>
      </w:r>
      <w:r>
        <w:t xml:space="preserve"> </w:t>
      </w:r>
      <w:r>
        <w:t xml:space="preserve">(Lebanon),</w:t>
      </w:r>
      <w:r>
        <w:t xml:space="preserve"> </w:t>
      </w:r>
      <w:r>
        <w:rPr>
          <w:bCs/>
          <w:b/>
        </w:rPr>
        <w:t xml:space="preserve">9502</w:t>
      </w:r>
      <w:r>
        <w:t xml:space="preserve"> </w:t>
      </w:r>
      <w:r>
        <w:t xml:space="preserve">(Watertown),</w:t>
      </w:r>
      <w:r>
        <w:t xml:space="preserve"> </w:t>
      </w:r>
      <w:r>
        <w:rPr>
          <w:bCs/>
          <w:b/>
        </w:rPr>
        <w:t xml:space="preserve">9503</w:t>
      </w:r>
      <w:r>
        <w:t xml:space="preserve"> </w:t>
      </w:r>
      <w:r>
        <w:t xml:space="preserve">(Mt. Juliet).</w:t>
      </w:r>
    </w:p>
    <w:bookmarkEnd w:id="21"/>
    <w:bookmarkStart w:id="22" w:name="fields-requested"/>
    <w:p>
      <w:pPr>
        <w:pStyle w:val="Heading2"/>
      </w:pPr>
      <w:r>
        <w:t xml:space="preserve">3. Fields requested</w:t>
      </w:r>
    </w:p>
    <w:p>
      <w:pPr>
        <w:pStyle w:val="FirstParagraph"/>
      </w:pPr>
      <w:r>
        <w:t xml:space="preserve">To the extent permitted by § 67-1-1704(d), in CSV or XLSX:</w:t>
      </w:r>
    </w:p>
    <w:p>
      <w:pPr>
        <w:pStyle w:val="BodyText"/>
      </w:pPr>
      <w:r>
        <w:t xml:space="preserve">taxpayer/business legal name · DBA or trade name · sales tax registration or account identifier ·</w:t>
      </w:r>
      <w:r>
        <w:t xml:space="preserve"> </w:t>
      </w:r>
      <w:r>
        <w:t xml:space="preserve">physical business location address · mailing address where it differs · ZIP code · current situs</w:t>
      </w:r>
      <w:r>
        <w:t xml:space="preserve"> </w:t>
      </w:r>
      <w:r>
        <w:t xml:space="preserve">code · county and city represented by that code · registration/account status · registration or</w:t>
      </w:r>
      <w:r>
        <w:t xml:space="preserve"> </w:t>
      </w:r>
      <w:r>
        <w:t xml:space="preserve">effective date · location identifier for multi-location taxpayers · report as-of date · any other</w:t>
      </w:r>
      <w:r>
        <w:t xml:space="preserve"> </w:t>
      </w:r>
      <w:r>
        <w:t xml:space="preserve">non-financial field the Department ordinarily provides for situs review.</w:t>
      </w:r>
    </w:p>
    <w:p>
      <w:pPr>
        <w:pStyle w:val="BodyText"/>
      </w:pPr>
      <w:r>
        <w:t xml:space="preserve">The County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requesting returns, receipts, income, tax liability, tax payments, or other</w:t>
      </w:r>
      <w:r>
        <w:t xml:space="preserve"> </w:t>
      </w:r>
      <w:r>
        <w:t xml:space="preserve">financial information.</w:t>
      </w:r>
    </w:p>
    <w:bookmarkEnd w:id="22"/>
    <w:bookmarkStart w:id="23" w:name="also-requested"/>
    <w:p>
      <w:pPr>
        <w:pStyle w:val="Heading2"/>
      </w:pPr>
      <w:r>
        <w:t xml:space="preserve">4. Also requested</w:t>
      </w:r>
    </w:p>
    <w:p>
      <w:pPr>
        <w:numPr>
          <w:ilvl w:val="0"/>
          <w:numId w:val="1001"/>
        </w:numPr>
        <w:pStyle w:val="Compact"/>
      </w:pPr>
      <w:r>
        <w:t xml:space="preserve">Current situs-code table and field definitions for the report, machine-readable if available.</w:t>
      </w:r>
    </w:p>
    <w:p>
      <w:pPr>
        <w:numPr>
          <w:ilvl w:val="0"/>
          <w:numId w:val="1001"/>
        </w:numPr>
        <w:pStyle w:val="Compact"/>
      </w:pPr>
      <w:r>
        <w:t xml:space="preserve">Current instructions and evidentiary requirements for submitting a situs correction.</w:t>
      </w:r>
    </w:p>
    <w:p>
      <w:pPr>
        <w:numPr>
          <w:ilvl w:val="0"/>
          <w:numId w:val="1001"/>
        </w:numPr>
        <w:pStyle w:val="Compact"/>
      </w:pPr>
      <w:r>
        <w:t xml:space="preserve">Written confirmation of the maximum retroactive adjustment period currently applicable</w:t>
      </w:r>
      <w:r>
        <w:t xml:space="preserve"> </w:t>
      </w:r>
      <w:r>
        <w:rPr>
          <w:bCs/>
          <w:b/>
        </w:rPr>
        <w:t xml:space="preserve">and its</w:t>
      </w:r>
      <w:r>
        <w:rPr>
          <w:bCs/>
          <w:b/>
        </w:rPr>
        <w:t xml:space="preserve"> </w:t>
      </w:r>
      <w:r>
        <w:rPr>
          <w:bCs/>
          <w:b/>
        </w:rPr>
        <w:t xml:space="preserve">authority</w:t>
      </w:r>
      <w:r>
        <w:t xml:space="preserve"> </w:t>
      </w:r>
      <w:r>
        <w:t xml:space="preserve">— statute or Department policy.</w:t>
      </w:r>
    </w:p>
    <w:p>
      <w:pPr>
        <w:numPr>
          <w:ilvl w:val="0"/>
          <w:numId w:val="1001"/>
        </w:numPr>
        <w:pStyle w:val="Compact"/>
      </w:pPr>
      <w:r>
        <w:t xml:space="preserve">REP access for the authorized County personnel listed in section 5, for the situs report and for</w:t>
      </w:r>
      <w:r>
        <w:t xml:space="preserve"> </w:t>
      </w:r>
      <w:r>
        <w:t xml:space="preserve">the City/County Detail and City/County Month Detail reports.</w:t>
      </w:r>
    </w:p>
    <w:p>
      <w:pPr>
        <w:numPr>
          <w:ilvl w:val="0"/>
          <w:numId w:val="1001"/>
        </w:numPr>
        <w:pStyle w:val="Compact"/>
      </w:pPr>
      <w:r>
        <w:t xml:space="preserve">The Department’s requirements for contractor access under § 67-1-1704(e).</w:t>
      </w:r>
    </w:p>
    <w:bookmarkEnd w:id="23"/>
    <w:bookmarkStart w:id="24" w:name="personnel-and-contractor-designation"/>
    <w:p>
      <w:pPr>
        <w:pStyle w:val="Heading2"/>
      </w:pPr>
      <w:r>
        <w:t xml:space="preserve">5. Personnel and contractor designation</w:t>
      </w:r>
    </w:p>
    <w:p>
      <w:pPr>
        <w:pStyle w:val="FirstParagraph"/>
      </w:pPr>
      <w:r>
        <w:rPr>
          <w:iCs/>
          <w:i/>
        </w:rPr>
        <w:t xml:space="preserve">[County to list authorized employees by name and title.]</w:t>
      </w:r>
    </w:p>
    <w:p>
      <w:pPr>
        <w:pStyle w:val="BodyText"/>
      </w:pPr>
      <w:r>
        <w:t xml:space="preserve">The County has engaged</w:t>
      </w:r>
      <w:r>
        <w:t xml:space="preserve"> </w:t>
      </w:r>
      <w:r>
        <w:rPr>
          <w:bCs/>
          <w:b/>
        </w:rPr>
        <w:t xml:space="preserve">Civvix Inc.</w:t>
      </w:r>
      <w:r>
        <w:t xml:space="preserve"> </w:t>
      </w:r>
      <w:r>
        <w:t xml:space="preserve">as its contractor for this review under</w:t>
      </w:r>
      <w:r>
        <w:t xml:space="preserve"> </w:t>
      </w:r>
      <w:r>
        <w:t xml:space="preserve">§ 67-1-1704(e). The County understands that the disclosure permitted to a contractor is limited on</w:t>
      </w:r>
      <w:r>
        <w:t xml:space="preserve"> </w:t>
      </w:r>
      <w:r>
        <w:t xml:space="preserve">its face to the</w:t>
      </w:r>
      <w:r>
        <w:t xml:space="preserve"> </w:t>
      </w:r>
      <w:r>
        <w:rPr>
          <w:bCs/>
          <w:b/>
        </w:rPr>
        <w:t xml:space="preserve">name, address and situs</w:t>
      </w:r>
      <w:r>
        <w:t xml:space="preserve"> </w:t>
      </w:r>
      <w:r>
        <w:t xml:space="preserve">of taxpayers and does not extend to returns, receipts,</w:t>
      </w:r>
      <w:r>
        <w:t xml:space="preserve"> </w:t>
      </w:r>
      <w:r>
        <w:t xml:space="preserve">income, tax liability, tax payments or other financial information, and the County will not transfer</w:t>
      </w:r>
      <w:r>
        <w:t xml:space="preserve"> </w:t>
      </w:r>
      <w:r>
        <w:t xml:space="preserve">anything beyond those fields.</w:t>
      </w:r>
    </w:p>
    <w:p>
      <w:pPr>
        <w:pStyle w:val="BodyText"/>
      </w:pPr>
      <w:r>
        <w:t xml:space="preserve">The County further confirms that each individual at the contractor with access has executed a written</w:t>
      </w:r>
      <w:r>
        <w:t xml:space="preserve"> </w:t>
      </w:r>
      <w:r>
        <w:t xml:space="preserve">acknowledgment that, under § 67-1-1704(e), they are subject to all penalties and restrictions</w:t>
      </w:r>
      <w:r>
        <w:t xml:space="preserve"> </w:t>
      </w:r>
      <w:r>
        <w:t xml:space="preserve">applicable to an officer or employee of the State under § 67-1-1709,</w:t>
      </w:r>
      <w:r>
        <w:t xml:space="preserve"> </w:t>
      </w:r>
      <w:r>
        <w:rPr>
          <w:bCs/>
          <w:b/>
        </w:rPr>
        <w:t xml:space="preserve">including that unauthorized</w:t>
      </w:r>
      <w:r>
        <w:rPr>
          <w:bCs/>
          <w:b/>
        </w:rPr>
        <w:t xml:space="preserve"> </w:t>
      </w:r>
      <w:r>
        <w:rPr>
          <w:bCs/>
          <w:b/>
        </w:rPr>
        <w:t xml:space="preserve">disclosure is a Class E felony</w:t>
      </w:r>
      <w:r>
        <w:t xml:space="preserve">, and that the obligation attaches to any person who has or has had</w:t>
      </w:r>
      <w:r>
        <w:t xml:space="preserve"> </w:t>
      </w:r>
      <w:r>
        <w:t xml:space="preserve">access at any time and survives the end of the engagement. Named individuals with access, their</w:t>
      </w:r>
      <w:r>
        <w:t xml:space="preserve"> </w:t>
      </w:r>
      <w:r>
        <w:t xml:space="preserve">written acknowledgments, and the County’s data-handling requirements are available to the Department</w:t>
      </w:r>
      <w:r>
        <w:t xml:space="preserve"> </w:t>
      </w:r>
      <w:r>
        <w:t xml:space="preserve">on request.</w:t>
      </w:r>
    </w:p>
    <w:bookmarkEnd w:id="24"/>
    <w:bookmarkStart w:id="25" w:name="audit-controls"/>
    <w:p>
      <w:pPr>
        <w:pStyle w:val="Heading2"/>
      </w:pPr>
      <w:r>
        <w:t xml:space="preserve">6. Audit controls</w:t>
      </w:r>
    </w:p>
    <w:p>
      <w:pPr>
        <w:pStyle w:val="FirstParagraph"/>
      </w:pPr>
      <w:r>
        <w:t xml:space="preserve">For each proposed correction the County will retain: the source records relied on; the effective-dated</w:t>
      </w:r>
      <w:r>
        <w:t xml:space="preserve"> </w:t>
      </w:r>
      <w:r>
        <w:t xml:space="preserve">boundary geometry used, with its custodian, download timestamp and SHA-256 hash; the spatial analysis</w:t>
      </w:r>
      <w:r>
        <w:t xml:space="preserve"> </w:t>
      </w:r>
      <w:r>
        <w:t xml:space="preserve">result including the measured distance to the nearest jurisdictional boundary; supporting documentary</w:t>
      </w:r>
      <w:r>
        <w:t xml:space="preserve"> </w:t>
      </w:r>
      <w:r>
        <w:t xml:space="preserve">evidence; the reviewer’s decision and date; the submission to the Department; and the Department’s</w:t>
      </w:r>
      <w:r>
        <w:t xml:space="preserve"> </w:t>
      </w:r>
      <w:r>
        <w:t xml:space="preserve">disposition.</w:t>
      </w:r>
    </w:p>
    <w:p>
      <w:pPr>
        <w:pStyle w:val="BodyText"/>
      </w:pPr>
      <w:r>
        <w:t xml:space="preserve">The County notes that its review is</w:t>
      </w:r>
      <w:r>
        <w:t xml:space="preserve"> </w:t>
      </w:r>
      <w:r>
        <w:rPr>
          <w:bCs/>
          <w:b/>
        </w:rPr>
        <w:t xml:space="preserve">bidirectional</w:t>
      </w:r>
      <w:r>
        <w:t xml:space="preserve">. Where the evidence establishes that a</w:t>
      </w:r>
      <w:r>
        <w:t xml:space="preserve"> </w:t>
      </w:r>
      <w:r>
        <w:t xml:space="preserve">taxpayer currently coded to Wilson County should be coded elsewhere, that finding will be submitted</w:t>
      </w:r>
      <w:r>
        <w:t xml:space="preserve"> </w:t>
      </w:r>
      <w:r>
        <w:t xml:space="preserve">on the same basis as any other.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Contact: Aaron Maynard, Finance Director, Wilson County, Tennessee.</w:t>
      </w:r>
    </w:p>
    <w:bookmarkEnd w:id="25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 Situs Data Request — Ready to Send</dc:title>
  <dc:creator>Civvix Inc.</dc:creator>
  <cp:keywords/>
  <dcterms:created xsi:type="dcterms:W3CDTF">2026-09-13T01:43:27Z</dcterms:created>
  <dcterms:modified xsi:type="dcterms:W3CDTF">2026-09-13T01:43:27Z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