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Situs Verification and Monitoring — Scope of Services (RFP)</w:t>
      </w:r>
    </w:p>
    <w:p>
      <w:pPr>
        <w:pStyle w:val="Author"/>
      </w:pPr>
      <w:r>
        <w:t xml:space="preserve">Civvix Inc.</w:t>
      </w:r>
    </w:p>
    <w:p>
      <w:pPr>
        <w:pStyle w:val="Date"/>
      </w:pPr>
      <w:r>
        <w:t xml:space="preserve">September 2026</w:t>
      </w:r>
    </w:p>
    <w:p>
      <w:pPr>
        <w:pStyle w:val="FirstParagraph"/>
      </w:pPr>
      <w:r>
        <w:rPr>
          <w:iCs/>
          <w:i/>
        </w:rPr>
        <w:t xml:space="preserve">Drafted for a Tennessee county or municipal finance office to adapt into a solicitation or a</w:t>
      </w:r>
      <w:r>
        <w:rPr>
          <w:iCs/>
          <w:i/>
        </w:rPr>
        <w:t xml:space="preserve"> </w:t>
      </w:r>
      <w:r>
        <w:rPr>
          <w:iCs/>
          <w:i/>
        </w:rPr>
        <w:t xml:space="preserve">sole-source justification. Written as requirements a vendor must meet, not as marketing copy.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[County/City] seeks a vendor to verify that every business physically located within its</w:t>
      </w:r>
      <w:r>
        <w:t xml:space="preserve"> </w:t>
      </w:r>
      <w:r>
        <w:t xml:space="preserve">jurisdiction is coded to the correct Department of Revenue situs code, so that local option sales tax</w:t>
      </w:r>
      <w:r>
        <w:t xml:space="preserve"> </w:t>
      </w:r>
      <w:r>
        <w:t xml:space="preserve">collected under T.C.A. § 67-6-712 is distributed to the correct unit of local government; to identify</w:t>
      </w:r>
      <w:r>
        <w:t xml:space="preserve"> </w:t>
      </w:r>
      <w:r>
        <w:t xml:space="preserve">and document miscoded accounts; to prepare correction submissions for the [County/City]’s approval</w:t>
      </w:r>
      <w:r>
        <w:t xml:space="preserve"> </w:t>
      </w:r>
      <w:r>
        <w:t xml:space="preserve">and transmittal to the Department; and to monitor the jurisdiction continuously so that no</w:t>
      </w:r>
      <w:r>
        <w:t xml:space="preserve"> </w:t>
      </w:r>
      <w:r>
        <w:t xml:space="preserve">miscoding persists beyond the Department’s one-year correction window.</w:t>
      </w:r>
    </w:p>
    <w:bookmarkEnd w:id="20"/>
    <w:bookmarkStart w:id="21" w:name="background"/>
    <w:p>
      <w:pPr>
        <w:pStyle w:val="Heading2"/>
      </w:pPr>
      <w:r>
        <w:t xml:space="preserve">2. Background</w:t>
      </w:r>
    </w:p>
    <w:p>
      <w:pPr>
        <w:pStyle w:val="FirstParagraph"/>
      </w:pPr>
      <w:r>
        <w:t xml:space="preserve">Every sales-tax registrant carries a four-digit situs code assigned at registration from the address</w:t>
      </w:r>
      <w:r>
        <w:t xml:space="preserve"> </w:t>
      </w:r>
      <w:r>
        <w:t xml:space="preserve">on the application. The code determines where the situs half of local option sales tax is</w:t>
      </w:r>
      <w:r>
        <w:t xml:space="preserve"> </w:t>
      </w:r>
      <w:r>
        <w:t xml:space="preserve">distributed and, for cross-county errors, where the education half is distributed as well. The</w:t>
      </w:r>
      <w:r>
        <w:t xml:space="preserve"> </w:t>
      </w:r>
      <w:r>
        <w:t xml:space="preserve">Department does not reconcile accounts against jurisdictional boundaries after registration; a</w:t>
      </w:r>
      <w:r>
        <w:t xml:space="preserve"> </w:t>
      </w:r>
      <w:r>
        <w:t xml:space="preserve">wrong code persists until the affected local government identifies it and notifies the Department.</w:t>
      </w:r>
      <w:r>
        <w:t xml:space="preserve"> </w:t>
      </w:r>
      <w:r>
        <w:t xml:space="preserve">The Department corrects distributions back one year from the date of notification.</w:t>
      </w:r>
    </w:p>
    <w:bookmarkEnd w:id="21"/>
    <w:bookmarkStart w:id="22" w:name="required-approach"/>
    <w:p>
      <w:pPr>
        <w:pStyle w:val="Heading2"/>
      </w:pPr>
      <w:r>
        <w:t xml:space="preserve">3. Required approach</w:t>
      </w:r>
    </w:p>
    <w:p>
      <w:pPr>
        <w:pStyle w:val="FirstParagraph"/>
      </w:pPr>
      <w:r>
        <w:t xml:space="preserve">The vendor shall:</w:t>
      </w:r>
    </w:p>
    <w:p>
      <w:pPr>
        <w:pStyle w:val="BodyText"/>
      </w:pPr>
      <w:r>
        <w:rPr>
          <w:bCs/>
          <w:b/>
        </w:rPr>
        <w:t xml:space="preserve">3.1 Establish the jurisdiction’s geography before examining any taxpayer record.</w:t>
      </w:r>
      <w:r>
        <w:t xml:space="preserve"> </w:t>
      </w:r>
      <w:r>
        <w:t xml:space="preserve">Place every</w:t>
      </w:r>
      <w:r>
        <w:t xml:space="preserve"> </w:t>
      </w:r>
      <w:r>
        <w:t xml:space="preserve">address point in the jurisdiction within the Department’s published sales tax rate boundary polygon</w:t>
      </w:r>
      <w:r>
        <w:t xml:space="preserve"> </w:t>
      </w:r>
      <w:r>
        <w:t xml:space="preserve">using rooftop-level address points from the 911 addressing authority, not street-interpolated</w:t>
      </w:r>
      <w:r>
        <w:t xml:space="preserve"> </w:t>
      </w:r>
      <w:r>
        <w:t xml:space="preserve">geocoding. Measure every address point’s distance in feet to the nearest boundary between two</w:t>
      </w:r>
      <w:r>
        <w:t xml:space="preserve"> </w:t>
      </w:r>
      <w:r>
        <w:t xml:space="preserve">different situs codes, in Tennessee State Plane coordinates. Produce a boundary quality report that</w:t>
      </w:r>
      <w:r>
        <w:t xml:space="preserve"> </w:t>
      </w:r>
      <w:r>
        <w:t xml:space="preserve">states the number of address points placed, the number that fell in no polygon, and the linear miles</w:t>
      </w:r>
      <w:r>
        <w:t xml:space="preserve"> </w:t>
      </w:r>
      <w:r>
        <w:t xml:space="preserve">of jurisdictional boundary examined, before any exception is reported.</w:t>
      </w:r>
    </w:p>
    <w:p>
      <w:pPr>
        <w:pStyle w:val="BodyText"/>
      </w:pPr>
      <w:r>
        <w:rPr>
          <w:bCs/>
          <w:b/>
        </w:rPr>
        <w:t xml:space="preserve">3.2 Compare independent official sources.</w:t>
      </w:r>
      <w:r>
        <w:t xml:space="preserve"> </w:t>
      </w:r>
      <w:r>
        <w:t xml:space="preserve">For each address point, record the jurisdiction</w:t>
      </w:r>
      <w:r>
        <w:t xml:space="preserve"> </w:t>
      </w:r>
      <w:r>
        <w:t xml:space="preserve">assigned by (a) the Department’s sales tax rate boundary polygon, (b) the 911 addressing authority’s</w:t>
      </w:r>
      <w:r>
        <w:t xml:space="preserve"> </w:t>
      </w:r>
      <w:r>
        <w:t xml:space="preserve">municipality field, (c) the Comptroller of the Treasury’s certified municipal boundary, and (d) the</w:t>
      </w:r>
      <w:r>
        <w:t xml:space="preserve"> </w:t>
      </w:r>
      <w:r>
        <w:t xml:space="preserve">Department’s Streamlined Sales Tax address-range file. Report every address where these sources</w:t>
      </w:r>
      <w:r>
        <w:t xml:space="preserve"> </w:t>
      </w:r>
      <w:r>
        <w:t xml:space="preserve">disagree, and treat any such address as requiring human adjudication before submission.</w:t>
      </w:r>
    </w:p>
    <w:p>
      <w:pPr>
        <w:pStyle w:val="BodyText"/>
      </w:pPr>
      <w:r>
        <w:rPr>
          <w:bCs/>
          <w:b/>
        </w:rPr>
        <w:t xml:space="preserve">3.3 Classify exposure using public data only, before requesting confidential data.</w:t>
      </w:r>
      <w:r>
        <w:t xml:space="preserve"> </w:t>
      </w:r>
      <w:r>
        <w:t xml:space="preserve">Identify and</w:t>
      </w:r>
      <w:r>
        <w:t xml:space="preserve"> </w:t>
      </w:r>
      <w:r>
        <w:t xml:space="preserve">rank, from public sources, the addresses most likely to carry a miscoded registration: physical</w:t>
      </w:r>
      <w:r>
        <w:t xml:space="preserve"> </w:t>
      </w:r>
      <w:r>
        <w:t xml:space="preserve">locations inside the jurisdiction whose USPS postal city belongs to another county; locations whose</w:t>
      </w:r>
      <w:r>
        <w:t xml:space="preserve"> </w:t>
      </w:r>
      <w:r>
        <w:t xml:space="preserve">postal city names a municipality the location is not inside; and locations within 250 feet of a</w:t>
      </w:r>
      <w:r>
        <w:t xml:space="preserve"> </w:t>
      </w:r>
      <w:r>
        <w:t xml:space="preserve">jurisdictional boundary. Deliver this ranked queue to the [County/City] before the situs report is</w:t>
      </w:r>
      <w:r>
        <w:t xml:space="preserve"> </w:t>
      </w:r>
      <w:r>
        <w:t xml:space="preserve">requested, so that the [County/City] can evaluate the method on its own geography at no risk.</w:t>
      </w:r>
    </w:p>
    <w:p>
      <w:pPr>
        <w:pStyle w:val="BodyText"/>
      </w:pPr>
      <w:r>
        <w:rPr>
          <w:bCs/>
          <w:b/>
        </w:rPr>
        <w:t xml:space="preserve">3.4 Obtain and match the situs report.</w:t>
      </w:r>
      <w:r>
        <w:t xml:space="preserve"> </w:t>
      </w:r>
      <w:r>
        <w:t xml:space="preserve">Assist the [County/City] in requesting the situs report</w:t>
      </w:r>
      <w:r>
        <w:t xml:space="preserve"> </w:t>
      </w:r>
      <w:r>
        <w:t xml:space="preserve">and City/County Detail reports through the Revenue External Portal under T.C.A. § 67-1-1704(d).</w:t>
      </w:r>
      <w:r>
        <w:t xml:space="preserve"> </w:t>
      </w:r>
      <w:r>
        <w:t xml:space="preserve">Match each roster row to a placed address point by normalized business name and address. Report</w:t>
      </w:r>
      <w:r>
        <w:t xml:space="preserve"> </w:t>
      </w:r>
      <w:r>
        <w:t xml:space="preserve">match rate. Compare each matched account’s coded situs to its measured situs.</w:t>
      </w:r>
    </w:p>
    <w:p>
      <w:pPr>
        <w:pStyle w:val="BodyText"/>
      </w:pPr>
      <w:r>
        <w:rPr>
          <w:bCs/>
          <w:b/>
        </w:rPr>
        <w:t xml:space="preserve">3.5 Score and adjudicate every finding.</w:t>
      </w:r>
      <w:r>
        <w:t xml:space="preserve"> </w:t>
      </w:r>
      <w:r>
        <w:t xml:space="preserve">Assign each candidate a documented evidence score using a</w:t>
      </w:r>
      <w:r>
        <w:t xml:space="preserve"> </w:t>
      </w:r>
      <w:r>
        <w:t xml:space="preserve">published rubric that credits agreement among official sources and penalizes proximity to a</w:t>
      </w:r>
      <w:r>
        <w:t xml:space="preserve"> </w:t>
      </w:r>
      <w:r>
        <w:t xml:space="preserve">boundary and mailing-only addresses. No finding within 50 feet of a boundary, and no finding on</w:t>
      </w:r>
      <w:r>
        <w:t xml:space="preserve"> </w:t>
      </w:r>
      <w:r>
        <w:t xml:space="preserve">which official sources disagree, shall be submitted without individual human review recorded by</w:t>
      </w:r>
      <w:r>
        <w:t xml:space="preserve"> </w:t>
      </w:r>
      <w:r>
        <w:t xml:space="preserve">name and date.</w:t>
      </w:r>
    </w:p>
    <w:p>
      <w:pPr>
        <w:pStyle w:val="BodyText"/>
      </w:pPr>
      <w:r>
        <w:rPr>
          <w:bCs/>
          <w:b/>
        </w:rPr>
        <w:t xml:space="preserve">3.6 Report in both directions.</w:t>
      </w:r>
      <w:r>
        <w:t xml:space="preserve"> </w:t>
      </w:r>
      <w:r>
        <w:t xml:space="preserve">Report every account whose correction would move revenue</w:t>
      </w:r>
      <w:r>
        <w:t xml:space="preserve"> </w:t>
      </w:r>
      <w:r>
        <w:rPr>
          <w:iCs/>
          <w:i/>
        </w:rP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[County/City] and every account whose correction would move revenue</w:t>
      </w:r>
      <w:r>
        <w:t xml:space="preserve"> </w:t>
      </w:r>
      <w:r>
        <w:rPr>
          <w:iCs/>
          <w:i/>
        </w:rPr>
        <w:t xml:space="preserve">away from</w:t>
      </w:r>
      <w:r>
        <w:t xml:space="preserve"> </w:t>
      </w:r>
      <w:r>
        <w:t xml:space="preserve">it, in the same</w:t>
      </w:r>
      <w:r>
        <w:t xml:space="preserve"> </w:t>
      </w:r>
      <w:r>
        <w:t xml:space="preserve">format and with the same evidence standard. The [County/City] alone decides what is submitted.</w:t>
      </w:r>
    </w:p>
    <w:p>
      <w:pPr>
        <w:pStyle w:val="BodyText"/>
      </w:pPr>
      <w:r>
        <w:rPr>
          <w:bCs/>
          <w:b/>
        </w:rPr>
        <w:t xml:space="preserve">3.7 Prepare correction packets.</w:t>
      </w:r>
      <w:r>
        <w:t xml:space="preserve"> </w:t>
      </w:r>
      <w:r>
        <w:t xml:space="preserve">For each finding approved by the [County/City], prepare an</w:t>
      </w:r>
      <w:r>
        <w:t xml:space="preserve"> </w:t>
      </w:r>
      <w:r>
        <w:t xml:space="preserve">evidence packet containing: business name and address; sales-tax account number as shown on the</w:t>
      </w:r>
      <w:r>
        <w:t xml:space="preserve"> </w:t>
      </w:r>
      <w:r>
        <w:t xml:space="preserve">situs report; coded situs; measured situs; the jurisdiction assigned by each official source; distance</w:t>
      </w:r>
      <w:r>
        <w:t xml:space="preserve"> </w:t>
      </w:r>
      <w:r>
        <w:t xml:space="preserve">in feet to the nearest boundary; the effective date, custodian and cryptographic hash of every source</w:t>
      </w:r>
      <w:r>
        <w:t xml:space="preserve"> </w:t>
      </w:r>
      <w:r>
        <w:t xml:space="preserve">layer used; a map; and the reviewer’s name and date. Prepare the cover correspondence to the</w:t>
      </w:r>
      <w:r>
        <w:t xml:space="preserve"> </w:t>
      </w:r>
      <w:r>
        <w:t xml:space="preserve">Department for the [County/City]’s signature.</w:t>
      </w:r>
    </w:p>
    <w:p>
      <w:pPr>
        <w:pStyle w:val="BodyText"/>
      </w:pPr>
      <w:r>
        <w:rPr>
          <w:bCs/>
          <w:b/>
        </w:rPr>
        <w:t xml:space="preserve">3.8 Monitor continuously.</w:t>
      </w:r>
      <w:r>
        <w:t xml:space="preserve"> </w:t>
      </w:r>
      <w:r>
        <w:t xml:space="preserve">Re-acquire the Department’s boundary polygons quarterly, the</w:t>
      </w:r>
      <w:r>
        <w:t xml:space="preserve"> </w:t>
      </w:r>
      <w:r>
        <w:t xml:space="preserve">Comptroller’s municipal boundaries monthly, and the 911 address points monthly; re-place every</w:t>
      </w:r>
      <w:r>
        <w:t xml:space="preserve"> </w:t>
      </w:r>
      <w:r>
        <w:t xml:space="preserve">address point when any boundary changes; and report new, resolved and changed exceptions in a</w:t>
      </w:r>
      <w:r>
        <w:t xml:space="preserve"> </w:t>
      </w:r>
      <w:r>
        <w:t xml:space="preserve">written bulletin at least quarterly, so that no miscoding persists beyond the Department’s one-year</w:t>
      </w:r>
      <w:r>
        <w:t xml:space="preserve"> </w:t>
      </w:r>
      <w:r>
        <w:t xml:space="preserve">window.</w:t>
      </w:r>
    </w:p>
    <w:p>
      <w:pPr>
        <w:pStyle w:val="BodyText"/>
      </w:pPr>
      <w:r>
        <w:rPr>
          <w:bCs/>
          <w:b/>
        </w:rPr>
        <w:t xml:space="preserve">3.9 Reproducibility.</w:t>
      </w:r>
      <w:r>
        <w:t xml:space="preserve"> </w:t>
      </w:r>
      <w:r>
        <w:t xml:space="preserve">Retain every source snapshot with its effective date and hash so that any</w:t>
      </w:r>
      <w:r>
        <w:t xml:space="preserve"> </w:t>
      </w:r>
      <w:r>
        <w:t xml:space="preserve">finding can be reproduced against the geography in force on the date it was made.</w:t>
      </w:r>
    </w:p>
    <w:bookmarkEnd w:id="22"/>
    <w:bookmarkStart w:id="23" w:name="data-handling"/>
    <w:p>
      <w:pPr>
        <w:pStyle w:val="Heading2"/>
      </w:pPr>
      <w:r>
        <w:t xml:space="preserve">4. Data handling</w:t>
      </w:r>
    </w:p>
    <w:p>
      <w:pPr>
        <w:pStyle w:val="FirstParagraph"/>
      </w:pPr>
      <w:r>
        <w:t xml:space="preserve">The vendor shall receive from the [County/City] only the name, address and situs of taxpayers, as</w:t>
      </w:r>
      <w:r>
        <w:t xml:space="preserve"> </w:t>
      </w:r>
      <w:r>
        <w:t xml:space="preserve">permitted by T.C.A. § 67-1-1704(e), and no returns, receipts, income, liability, payment or other</w:t>
      </w:r>
      <w:r>
        <w:t xml:space="preserve"> </w:t>
      </w:r>
      <w:r>
        <w:t xml:space="preserve">financial information. The vendor shall not disclose such information to any other person. The</w:t>
      </w:r>
      <w:r>
        <w:t xml:space="preserve"> </w:t>
      </w:r>
      <w:r>
        <w:t xml:space="preserve">vendor shall name every individual with access, each of whom shall acknowledge in writing that</w:t>
      </w:r>
      <w:r>
        <w:t xml:space="preserve"> </w:t>
      </w:r>
      <w:r>
        <w:t xml:space="preserve">unauthorized disclosure is a Class E felony under T.C.A. § 67-1-1709 and that the obligation survives</w:t>
      </w:r>
      <w:r>
        <w:t xml:space="preserve"> </w:t>
      </w:r>
      <w:r>
        <w:t xml:space="preserve">the engagement. The vendor shall not store the situs report on infrastructure outside the</w:t>
      </w:r>
      <w:r>
        <w:t xml:space="preserve"> </w:t>
      </w:r>
      <w:r>
        <w:t xml:space="preserve">[County/City]’s control, shall not use any third-party processing service on it, and shall certify</w:t>
      </w:r>
      <w:r>
        <w:t xml:space="preserve"> </w:t>
      </w:r>
      <w:r>
        <w:t xml:space="preserve">its destruction at the end of the engagement. The vendor shall not use information derived from the</w:t>
      </w:r>
      <w:r>
        <w:t xml:space="preserve"> </w:t>
      </w:r>
      <w:r>
        <w:t xml:space="preserve">[County/City]’s situs report in work for any other jurisdiction.</w:t>
      </w:r>
    </w:p>
    <w:bookmarkEnd w:id="23"/>
    <w:bookmarkStart w:id="24" w:name="deliverables"/>
    <w:p>
      <w:pPr>
        <w:pStyle w:val="Heading2"/>
      </w:pPr>
      <w:r>
        <w:t xml:space="preserve">5. Deliverables</w:t>
      </w:r>
    </w:p>
    <w:p>
      <w:pPr>
        <w:numPr>
          <w:ilvl w:val="0"/>
          <w:numId w:val="1001"/>
        </w:numPr>
        <w:pStyle w:val="Compact"/>
      </w:pPr>
      <w:r>
        <w:t xml:space="preserve">Boundary quality report (before any taxpayer data is requested).</w:t>
      </w:r>
    </w:p>
    <w:p>
      <w:pPr>
        <w:numPr>
          <w:ilvl w:val="0"/>
          <w:numId w:val="1001"/>
        </w:numPr>
        <w:pStyle w:val="Compact"/>
      </w:pPr>
      <w:r>
        <w:t xml:space="preserve">Ranked exposure queue from public data.</w:t>
      </w:r>
    </w:p>
    <w:p>
      <w:pPr>
        <w:numPr>
          <w:ilvl w:val="0"/>
          <w:numId w:val="1001"/>
        </w:numPr>
        <w:pStyle w:val="Compact"/>
      </w:pPr>
      <w:r>
        <w:t xml:space="preserve">Situs report request package for the [County/City]’s transmittal.</w:t>
      </w:r>
    </w:p>
    <w:p>
      <w:pPr>
        <w:numPr>
          <w:ilvl w:val="0"/>
          <w:numId w:val="1001"/>
        </w:numPr>
        <w:pStyle w:val="Compact"/>
      </w:pPr>
      <w:r>
        <w:t xml:space="preserve">Matched roster with coded-versus-measured comparison and match rate.</w:t>
      </w:r>
    </w:p>
    <w:p>
      <w:pPr>
        <w:numPr>
          <w:ilvl w:val="0"/>
          <w:numId w:val="1001"/>
        </w:numPr>
        <w:pStyle w:val="Compact"/>
      </w:pPr>
      <w:r>
        <w:t xml:space="preserve">Adjudicated findings, both directions, with evidence packets.</w:t>
      </w:r>
    </w:p>
    <w:p>
      <w:pPr>
        <w:numPr>
          <w:ilvl w:val="0"/>
          <w:numId w:val="1001"/>
        </w:numPr>
        <w:pStyle w:val="Compact"/>
      </w:pPr>
      <w:r>
        <w:t xml:space="preserve">Cover correspondence to the Department for signature.</w:t>
      </w:r>
    </w:p>
    <w:p>
      <w:pPr>
        <w:numPr>
          <w:ilvl w:val="0"/>
          <w:numId w:val="1001"/>
        </w:numPr>
        <w:pStyle w:val="Compact"/>
      </w:pPr>
      <w:r>
        <w:t xml:space="preserve">Quarterly monitoring bulletin.</w:t>
      </w:r>
    </w:p>
    <w:p>
      <w:pPr>
        <w:numPr>
          <w:ilvl w:val="0"/>
          <w:numId w:val="1001"/>
        </w:numPr>
        <w:pStyle w:val="Compact"/>
      </w:pPr>
      <w:r>
        <w:t xml:space="preserve">A calibration report after the first correction cycle: the precision and recall of each exposure</w:t>
      </w:r>
      <w:r>
        <w:t xml:space="preserve"> </w:t>
      </w:r>
      <w:r>
        <w:t xml:space="preserve">class against actual coding.</w:t>
      </w:r>
    </w:p>
    <w:bookmarkEnd w:id="24"/>
    <w:bookmarkStart w:id="25" w:name="pricing"/>
    <w:p>
      <w:pPr>
        <w:pStyle w:val="Heading2"/>
      </w:pPr>
      <w:r>
        <w:t xml:space="preserve">6. Pricing</w:t>
      </w:r>
    </w:p>
    <w:p>
      <w:pPr>
        <w:pStyle w:val="FirstParagraph"/>
      </w:pPr>
      <w:r>
        <w:t xml:space="preserve">Fixed annual fee for the monitoring service, inclusive of all deliverables. No contingency on</w:t>
      </w:r>
      <w:r>
        <w:t xml:space="preserve"> </w:t>
      </w:r>
      <w:r>
        <w:t xml:space="preserve">recovery.</w:t>
      </w:r>
      <w:r>
        <w:t xml:space="preserve"> </w:t>
      </w:r>
      <w:r>
        <w:rPr>
          <w:iCs/>
          <w:i/>
        </w:rPr>
        <w:t xml:space="preserve">(See separate pricing schedule.)</w:t>
      </w:r>
    </w:p>
    <w:bookmarkEnd w:id="25"/>
    <w:bookmarkStart w:id="26" w:name="insurance"/>
    <w:p>
      <w:pPr>
        <w:pStyle w:val="Heading2"/>
      </w:pPr>
      <w:r>
        <w:t xml:space="preserve">7. Insurance</w:t>
      </w:r>
    </w:p>
    <w:p>
      <w:pPr>
        <w:pStyle w:val="FirstParagraph"/>
      </w:pPr>
      <w:r>
        <w:t xml:space="preserve">Commercial general liability $1,000,000 per occurrence / $2,000,000 aggregate; technology errors and</w:t>
      </w:r>
      <w:r>
        <w:t xml:space="preserve"> </w:t>
      </w:r>
      <w:r>
        <w:t xml:space="preserve">omissions $1,000,000; cyber liability $1,000,000; the [County/City] named additional insured on</w:t>
      </w:r>
      <w:r>
        <w:t xml:space="preserve"> </w:t>
      </w:r>
      <w:r>
        <w:t xml:space="preserve">general liability; carriers rated A- VII or better.</w:t>
      </w:r>
    </w:p>
    <w:bookmarkEnd w:id="26"/>
    <w:bookmarkStart w:id="27" w:name="what-distinguishes-a-conforming-response"/>
    <w:p>
      <w:pPr>
        <w:pStyle w:val="Heading2"/>
      </w:pPr>
      <w:r>
        <w:t xml:space="preserve">8. What distinguishes a conforming response</w:t>
      </w:r>
    </w:p>
    <w:p>
      <w:pPr>
        <w:pStyle w:val="FirstParagraph"/>
      </w:pPr>
      <w:r>
        <w:t xml:space="preserve">A response that relies on ZIP code or mailing-city matching, on commercial geocoding, or on</w:t>
      </w:r>
      <w:r>
        <w:t xml:space="preserve"> </w:t>
      </w:r>
      <w:r>
        <w:t xml:space="preserve">examining the situs report before the geography has been independently verified does not conform to</w:t>
      </w:r>
      <w:r>
        <w:t xml:space="preserve"> </w:t>
      </w:r>
      <w:r>
        <w:t xml:space="preserve">sections 3.1–3.3. A response that reports findings in one direction only does not conform to 3.6. A</w:t>
      </w:r>
      <w:r>
        <w:t xml:space="preserve"> </w:t>
      </w:r>
      <w:r>
        <w:t xml:space="preserve">response that cannot reproduce a finding against a dated source snapshot does not conform to 3.9.</w:t>
      </w:r>
    </w:p>
    <w:bookmarkEnd w:id="27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cs="Calibri" w:eastAsia="Calibri" w:hAnsi="Calibri"/>
      <w:b w:val="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b w:val="0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b w:val="0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16202B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16202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1F5C7A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8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3D4B57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Situs Verification and Monitoring — Scope of Services (RFP)</dc:title>
  <dc:creator>Civvix Inc.</dc:creator>
  <cp:keywords/>
  <dcterms:created xsi:type="dcterms:W3CDTF">2026-09-13T01:43:28Z</dcterms:created>
  <dcterms:modified xsi:type="dcterms:W3CDTF">2026-09-13T01:43:28Z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</Properties>
</file>