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Situs Correction — Evidence Packet (Demonstration)</w:t>
      </w:r>
    </w:p>
    <w:p>
      <w:pPr>
        <w:pStyle w:val="Author"/>
      </w:pPr>
      <w:r>
        <w:t xml:space="preserve">Civvix Inc.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iCs/>
          <w:i/>
        </w:rPr>
        <w:t xml:space="preserve">Every value below is real and comes from public sources. The roster row is from the City of</w:t>
      </w:r>
      <w:r>
        <w:rPr>
          <w:iCs/>
          <w:i/>
        </w:rPr>
        <w:t xml:space="preserve"> </w:t>
      </w:r>
      <w:r>
        <w:rPr>
          <w:iCs/>
          <w:i/>
        </w:rPr>
        <w:t xml:space="preserve">Hendersonville’s published business-tax roster, not from a Department of Revenue situs report; the</w:t>
      </w:r>
      <w:r>
        <w:rPr>
          <w:iCs/>
          <w:i/>
        </w:rPr>
        <w:t xml:space="preserve"> </w:t>
      </w:r>
      <w:r>
        <w:rPr>
          <w:iCs/>
          <w:i/>
        </w:rPr>
        <w:t xml:space="preserve">packet format is identical. This is what one finding looks like when it is ready to send.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Submitting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Sumner County, Tennessee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Civvix Inc., under contract to Sumner County pursuant to T.C.A. § 67-1-1704(e)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Packet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SUMNER-2026-09-0001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 by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 (analyst) · 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Approved for transmittal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 (Finance Director) · ____________</w:t>
            </w:r>
          </w:p>
        </w:tc>
      </w:tr>
    </w:tbl>
    <w:bookmarkStart w:id="20" w:name="account"/>
    <w:p>
      <w:pPr>
        <w:pStyle w:val="Heading2"/>
      </w:pPr>
      <w:r>
        <w:t xml:space="preserve">1. Account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Business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PLANNERS,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1780 SHELL RD, HENDERSONVILLE TN 37075-8457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/ location ID (as shown on roster)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103789037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of Hendersonville business-tax roster, public GIS table, snapshot 2026-09-12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Coded situs (per roster)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8305 — Hendersonville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Measured situs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8300 — Sumner County, unincorporated</w:t>
            </w:r>
          </w:p>
        </w:tc>
      </w:tr>
    </w:tbl>
    <w:bookmarkEnd w:id="20"/>
    <w:bookmarkStart w:id="21" w:name="X375f4aee5ca2bb08d10427cdd822efe8eaae236"/>
    <w:p>
      <w:pPr>
        <w:pStyle w:val="Heading2"/>
      </w:pPr>
      <w:r>
        <w:t xml:space="preserve">2. Where the business physically sits — four independent official 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Tax Rate Boundary 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Department of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8300 — Unincorporated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Streamlined Sales Tax address-range file (1780 Shell Rd, 37075)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Department of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8300 — Unincorporated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NG911 address point,</w:t>
            </w:r>
            <w:r>
              <w:t xml:space="preserve"> </w:t>
            </w:r>
            <w:r>
              <w:rPr>
                <w:rStyle w:val="VerbatimChar"/>
              </w:rPr>
              <w:t xml:space="preserve">Inc_Muni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Emergency Communications Board / Sumner County ECD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Certified municipal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Comptroller, Office of Local Government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Outside every municipality</w:t>
            </w:r>
          </w:p>
        </w:tc>
      </w:tr>
    </w:tbl>
    <w:p>
      <w:pPr>
        <w:pStyle w:val="BodyText"/>
      </w:pPr>
      <w:r>
        <w:t xml:space="preserve">All four agree. There is no official source that places this address inside Hendersonville.</w:t>
      </w:r>
    </w:p>
    <w:bookmarkEnd w:id="21"/>
    <w:bookmarkStart w:id="22" w:name="boundary-analysis"/>
    <w:p>
      <w:pPr>
        <w:pStyle w:val="Heading2"/>
      </w:pPr>
      <w:r>
        <w:t xml:space="preserve">3. Boundary analysis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Rooftop coordinate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36.399306, −86.651799 (NAD83; measured in EPSG:2274, TN State Plane, US 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 jurisdictional seam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4,802 ft</w:t>
            </w:r>
            <w:r>
              <w:t xml:space="preserve"> </w:t>
            </w:r>
            <w:r>
              <w:t xml:space="preserve">— the seam between 8300 (unincorporated) and 8308 (Millersville)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 to the Hendersonville (8305)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than 4,802 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(&gt;1,000 ft) — boundary precision cannot explain the 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rooftop address point at 0 ft from the business location</w:t>
            </w:r>
          </w:p>
        </w:tc>
      </w:tr>
    </w:tbl>
    <w:bookmarkEnd w:id="22"/>
    <w:bookmarkStart w:id="23" w:name="evidence-score-100-100"/>
    <w:p>
      <w:pPr>
        <w:pStyle w:val="Heading2"/>
      </w:pPr>
      <w:r>
        <w:t xml:space="preserve">4. Evidence score — 100 / 100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 a Department tax-rate 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911-authority rooftop address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official sources agree on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address-range file matches the 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point within 100 ft of the rooftop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current in 911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Penalties (seam proximity, source conflict, mailing-only address)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Disposition:</w:t>
      </w:r>
      <w:r>
        <w:t xml:space="preserve"> </w:t>
      </w:r>
      <w:r>
        <w:rPr>
          <w:bCs/>
          <w:b/>
        </w:rPr>
        <w:t xml:space="preserve">READY — analyst sign-off then submit.</w:t>
      </w:r>
      <w:r>
        <w:t xml:space="preserve"> </w:t>
      </w:r>
      <w:r>
        <w:t xml:space="preserve">Auto-submit floor is 85 with no unresolved</w:t>
      </w:r>
      <w:r>
        <w:t xml:space="preserve"> </w:t>
      </w:r>
      <w:r>
        <w:t xml:space="preserve">source conflict.</w:t>
      </w:r>
    </w:p>
    <w:bookmarkEnd w:id="23"/>
    <w:bookmarkStart w:id="24" w:name="direction-of-correction"/>
    <w:p>
      <w:pPr>
        <w:pStyle w:val="Heading2"/>
      </w:pPr>
      <w:r>
        <w:t xml:space="preserve">5. Direction of correction</w:t>
      </w:r>
    </w:p>
    <w:p>
      <w:pPr>
        <w:pStyle w:val="FirstParagraph"/>
      </w:pPr>
      <w:r>
        <w:t xml:space="preserve">Correcting this account moves the situs half of local option sales tax on this account’s sales</w:t>
      </w:r>
      <w:r>
        <w:t xml:space="preserve"> </w:t>
      </w:r>
      <w:r>
        <w:rPr>
          <w:bCs/>
          <w:b/>
        </w:rPr>
        <w:t xml:space="preserve">from the City of Hendersonville to Sumner County</w:t>
      </w:r>
      <w:r>
        <w:t xml:space="preserve">. The education half is unaffected (both are in</w:t>
      </w:r>
      <w:r>
        <w:t xml:space="preserve"> </w:t>
      </w:r>
      <w:r>
        <w:t xml:space="preserve">Sumner County). This packet is reported to the County whether or not the County elects to submit it.</w:t>
      </w:r>
    </w:p>
    <w:bookmarkEnd w:id="24"/>
    <w:bookmarkStart w:id="25" w:name="source-provenance"/>
    <w:p>
      <w:pPr>
        <w:pStyle w:val="Heading2"/>
      </w:pPr>
      <w:r>
        <w:t xml:space="preserve">6. Source provenance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(first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 Sales Tax Rate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7ef2e86c000c3bea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SST address-range file (Sumner)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f2a2059fae8eeca9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Comptroller municipal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5dec8de70e3dafe3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NG911 address points (Sumner)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0686a0240fff6509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Hendersonville business-tax roster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bc3f1edde8b17c8a</w:t>
            </w:r>
          </w:p>
        </w:tc>
      </w:tr>
    </w:tbl>
    <w:p>
      <w:pPr>
        <w:pStyle w:val="BodyText"/>
      </w:pPr>
      <w:r>
        <w:t xml:space="preserve">Every layer is retained unaltered so that this finding can be reproduced against the geography in</w:t>
      </w:r>
      <w:r>
        <w:t xml:space="preserve"> </w:t>
      </w:r>
      <w:r>
        <w:t xml:space="preserve">force on the date above.</w:t>
      </w:r>
    </w:p>
    <w:bookmarkEnd w:id="25"/>
    <w:bookmarkStart w:id="26" w:name="attachments"/>
    <w:p>
      <w:pPr>
        <w:pStyle w:val="Heading2"/>
      </w:pPr>
      <w:r>
        <w:t xml:space="preserve">7. Attachments</w:t>
      </w:r>
    </w:p>
    <w:p>
      <w:pPr>
        <w:numPr>
          <w:ilvl w:val="0"/>
          <w:numId w:val="1001"/>
        </w:numPr>
        <w:pStyle w:val="Compact"/>
      </w:pPr>
      <w:r>
        <w:t xml:space="preserve">Map: rooftop, situs polygons, nearest seam with measured distance (exported from the workbench).</w:t>
      </w:r>
    </w:p>
    <w:p>
      <w:pPr>
        <w:numPr>
          <w:ilvl w:val="0"/>
          <w:numId w:val="1001"/>
        </w:numPr>
        <w:pStyle w:val="Compact"/>
      </w:pPr>
      <w:r>
        <w:t xml:space="preserve">Street-level verification: Google Maps / Street View link (human verification only; not used in</w:t>
      </w:r>
      <w:r>
        <w:t xml:space="preserve"> </w:t>
      </w:r>
      <w:r>
        <w:t xml:space="preserve">any measurement).</w:t>
      </w:r>
    </w:p>
    <w:p>
      <w:r>
        <w:pict>
          <v:rect style="width:0;height:1.5pt" o:hralign="center" o:hrstd="t" o:hr="t"/>
        </w:pict>
      </w:r>
    </w:p>
    <w:bookmarkEnd w:id="26"/>
    <w:bookmarkStart w:id="27" w:name="X714070bc5162e3e62ef7fc09f2cd3004d048561"/>
    <w:p>
      <w:pPr>
        <w:pStyle w:val="Heading2"/>
      </w:pPr>
      <w:r>
        <w:t xml:space="preserve">Cover correspondence — for the County’s signature</w:t>
      </w:r>
    </w:p>
    <w:p>
      <w:pPr>
        <w:pStyle w:val="BlockText"/>
      </w:pPr>
      <w:r>
        <w:t xml:space="preserve">Tennessee Department of Revenue, Financial Control Division</w:t>
      </w:r>
      <w:r>
        <w:t xml:space="preserve"> </w:t>
      </w:r>
      <w:r>
        <w:t xml:space="preserve">500 Deaderick Street, Nashville, TN 37242 · revenue.financialcontrol@tn.gov · (615) 532-8944</w:t>
      </w:r>
    </w:p>
    <w:p>
      <w:pPr>
        <w:pStyle w:val="BlockText"/>
      </w:pPr>
      <w:r>
        <w:t xml:space="preserve">Re: Situs correction — Sumner County — [N] accounts</w:t>
      </w:r>
    </w:p>
    <w:p>
      <w:pPr>
        <w:pStyle w:val="BlockText"/>
      </w:pPr>
      <w:r>
        <w:t xml:space="preserve">Pursuant to Tenn. Code Ann. § 67-1-1704(d), Sumner County has reviewed its situs report dated</w:t>
      </w:r>
      <w:r>
        <w:t xml:space="preserve"> </w:t>
      </w:r>
      <w:r>
        <w:t xml:space="preserve">[date] and identified the accounts listed on the attached marked-up report as coded to a situs</w:t>
      </w:r>
      <w:r>
        <w:t xml:space="preserve"> </w:t>
      </w:r>
      <w:r>
        <w:t xml:space="preserve">other than the jurisdiction in which the business location physically sits. For each account the</w:t>
      </w:r>
      <w:r>
        <w:t xml:space="preserve"> </w:t>
      </w:r>
      <w:r>
        <w:t xml:space="preserve">County attaches an evidence packet showing the location’s position relative to the Department’s</w:t>
      </w:r>
      <w:r>
        <w:t xml:space="preserve"> </w:t>
      </w:r>
      <w:r>
        <w:t xml:space="preserve">published sales tax rate boundaries, the Department’s Streamlined Sales Tax address-range file, the</w:t>
      </w:r>
      <w:r>
        <w:t xml:space="preserve"> </w:t>
      </w:r>
      <w:r>
        <w:t xml:space="preserve">Comptroller’s certified municipal boundary, and the 911 addressing authority’s records, together</w:t>
      </w:r>
      <w:r>
        <w:t xml:space="preserve"> </w:t>
      </w:r>
      <w:r>
        <w:t xml:space="preserve">with the measured distance to the nearest jurisdictional boundary.</w:t>
      </w:r>
    </w:p>
    <w:p>
      <w:pPr>
        <w:pStyle w:val="BlockText"/>
      </w:pPr>
      <w:r>
        <w:t xml:space="preserve">The County requests that the Department verify these accounts, correct the situs code of each</w:t>
      </w:r>
      <w:r>
        <w:t xml:space="preserve"> </w:t>
      </w:r>
      <w:r>
        <w:t xml:space="preserve">account found to be miscoded, and adjust distributions for the period permitted from the date of</w:t>
      </w:r>
      <w:r>
        <w:t xml:space="preserve"> </w:t>
      </w:r>
      <w:r>
        <w:t xml:space="preserve">this notification. The County is prepared to furnish proof of corporate boundaries on request.</w:t>
      </w:r>
    </w:p>
    <w:p>
      <w:pPr>
        <w:pStyle w:val="BlockText"/>
      </w:pPr>
      <w:r>
        <w:t xml:space="preserve">[Finance Director], Sumner County</w:t>
      </w:r>
    </w:p>
    <w:p>
      <w:r>
        <w:pict>
          <v:rect style="width:0;height:1.5pt" o:hralign="center" o:hrstd="t" o:hr="t"/>
        </w:pict>
      </w:r>
    </w:p>
    <w:bookmarkEnd w:id="27"/>
    <w:bookmarkStart w:id="28" w:name="the-process-as-best-it-can-be-documented"/>
    <w:p>
      <w:pPr>
        <w:pStyle w:val="Heading2"/>
      </w:pPr>
      <w:r>
        <w:t xml:space="preserve">The process, as best it can be documented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County pulls the situs report</w:t>
      </w:r>
      <w:r>
        <w:t xml:space="preserve"> </w:t>
      </w:r>
      <w:r>
        <w:t xml:space="preserve">from the Revenue External Portal. County officials only;</w:t>
      </w:r>
      <w:r>
        <w:t xml:space="preserve"> </w:t>
      </w:r>
      <w:r>
        <w:t xml:space="preserve">their credentials; no vendor involvement in that step.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vendor matches and adjudicates</w:t>
      </w:r>
      <w:r>
        <w:t xml:space="preserve"> </w:t>
      </w:r>
      <w:r>
        <w:t xml:space="preserve">— in the County’s environment. The roster never lands on</w:t>
      </w:r>
      <w:r>
        <w:t xml:space="preserve"> </w:t>
      </w:r>
      <w:r>
        <w:t xml:space="preserve">vendor infrastructure. Each candidate gets a packet like the one above and a named reviewer.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County decides what to submit.</w:t>
      </w:r>
      <w:r>
        <w:t xml:space="preserve"> </w:t>
      </w:r>
      <w:r>
        <w:t xml:space="preserve">Both directions are reported; the County chooses.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County sends.</w:t>
      </w:r>
      <w:r>
        <w:t xml:space="preserve"> </w:t>
      </w:r>
      <w:r>
        <w:t xml:space="preserve">There is no Department form, no portal function and no statute governing</w:t>
      </w:r>
      <w:r>
        <w:t xml:space="preserve"> </w:t>
      </w:r>
      <w:r>
        <w:t xml:space="preserve">corrections. MTAS’s documented procedure is to mark the corrections on the situs report itself,</w:t>
      </w:r>
      <w:r>
        <w:t xml:space="preserve"> </w:t>
      </w:r>
      <w:r>
        <w:t xml:space="preserve">keep a copy, and send it to Financial Control with each business’s sales-tax account number. The</w:t>
      </w:r>
      <w:r>
        <w:t xml:space="preserve"> </w:t>
      </w:r>
      <w:r>
        <w:t xml:space="preserve">vendor prepares the marked-up report, the packets and the cover letter; the County signs and</w:t>
      </w:r>
      <w:r>
        <w:t xml:space="preserve"> </w:t>
      </w:r>
      <w:r>
        <w:t xml:space="preserve">transmits. This is also how Knox County structured its 2020 procurement: the vendor prepares</w:t>
      </w:r>
      <w:r>
        <w:t xml:space="preserve"> </w:t>
      </w:r>
      <w:r>
        <w:t xml:space="preserve">correspondence, the Senior Director of Finance approves and sends.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Department verifies.</w:t>
      </w:r>
      <w:r>
        <w:t xml:space="preserve"> </w:t>
      </w:r>
      <w:r>
        <w:t xml:space="preserve">Per the Knox County RFP, the Department sends a request for</w:t>
      </w:r>
      <w:r>
        <w:t xml:space="preserve"> </w:t>
      </w:r>
      <w:r>
        <w:t xml:space="preserve">verification; the other party may concur, not reply (treated as concurrence), or dispute. No</w:t>
      </w:r>
      <w:r>
        <w:t xml:space="preserve"> </w:t>
      </w:r>
      <w:r>
        <w:t xml:space="preserve">appeal process is documented anywhere. Turnaround is unpublished.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Adjustment.</w:t>
      </w:r>
      <w:r>
        <w:t xml:space="preserve"> </w:t>
      </w:r>
      <w:r>
        <w:t xml:space="preserve">Small amounts are netted against the next month’s distribution; larger amounts</w:t>
      </w:r>
      <w:r>
        <w:t xml:space="preserve"> </w:t>
      </w:r>
      <w:r>
        <w:t xml:space="preserve">are spread over the following year. Corrections reach back one year from the date of</w:t>
      </w:r>
      <w:r>
        <w:t xml:space="preserve"> </w:t>
      </w:r>
      <w:r>
        <w:t xml:space="preserve">notification — Department practice, not statute.</w:t>
      </w:r>
    </w:p>
    <w:p>
      <w:pPr>
        <w:pStyle w:val="FirstParagraph"/>
      </w:pPr>
      <w:r>
        <w:rPr>
          <w:bCs/>
          <w:b/>
        </w:rPr>
        <w:t xml:space="preserve">Why the County sends and not the vendor.</w:t>
      </w:r>
      <w:r>
        <w:t xml:space="preserve"> </w:t>
      </w:r>
      <w:r>
        <w:t xml:space="preserve">Two reasons. § 67-1-1704(e) forbids the contractor from</w:t>
      </w:r>
      <w:r>
        <w:t xml:space="preserve"> </w:t>
      </w:r>
      <w:r>
        <w:t xml:space="preserve">disclosing roster information</w:t>
      </w:r>
      <w:r>
        <w:t xml:space="preserve"> </w:t>
      </w:r>
      <w:r>
        <w:t xml:space="preserve">“</w:t>
      </w:r>
      <w:r>
        <w:t xml:space="preserve">to any other person,</w:t>
      </w:r>
      <w:r>
        <w:t xml:space="preserve">”</w:t>
      </w:r>
      <w:r>
        <w:t xml:space="preserve"> </w:t>
      </w:r>
      <w:r>
        <w:t xml:space="preserve">and while the Department is the source of the</w:t>
      </w:r>
      <w:r>
        <w:t xml:space="preserve"> </w:t>
      </w:r>
      <w:r>
        <w:t xml:space="preserve">data, keeping the County as the sole channel removes any argument. And the Department’s process is</w:t>
      </w:r>
      <w:r>
        <w:t xml:space="preserve"> </w:t>
      </w:r>
      <w:r>
        <w:t xml:space="preserve">built around the local government as the party of record — the notification date that starts the</w:t>
      </w:r>
      <w:r>
        <w:t xml:space="preserve"> </w:t>
      </w:r>
      <w:r>
        <w:t xml:space="preserve">one-year clock is the County’s notification. Vendors in California file petitions directly under</w:t>
      </w:r>
      <w:r>
        <w:t xml:space="preserve"> </w:t>
      </w:r>
      <w:r>
        <w:t xml:space="preserve">written authorization; Tennessee has no equivalent mechanism, and none is needed.</w:t>
      </w:r>
    </w:p>
    <w:bookmarkEnd w:id="28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Situs Correction — Evidence Packet (Demonstration)</dc:title>
  <dc:creator>Civvix Inc.</dc:creator>
  <cp:keywords/>
  <dcterms:created xsi:type="dcterms:W3CDTF">2026-09-13T01:43:54Z</dcterms:created>
  <dcterms:modified xsi:type="dcterms:W3CDTF">2026-09-13T01:43:54Z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