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the Queue Works — In Plain English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iCs/>
          <w:i/>
        </w:rPr>
        <w:t xml:space="preserve">For a finance director who has never thought about situs codes and should not have to.</w:t>
      </w:r>
    </w:p>
    <w:bookmarkStart w:id="20" w:name="the-one-fact-everything-rests-on"/>
    <w:p>
      <w:pPr>
        <w:pStyle w:val="Heading2"/>
      </w:pPr>
      <w:r>
        <w:t xml:space="preserve">The one fact everything rests on</w:t>
      </w:r>
    </w:p>
    <w:p>
      <w:pPr>
        <w:pStyle w:val="FirstParagraph"/>
      </w:pPr>
      <w:r>
        <w:t xml:space="preserve">When a business registers for sales tax in Tennessee, someone types an address into a form. The</w:t>
      </w:r>
      <w:r>
        <w:t xml:space="preserve"> </w:t>
      </w:r>
      <w:r>
        <w:t xml:space="preserve">Department of Revenue turns that address into a four-digit code — the first two digits for the county,</w:t>
      </w:r>
      <w:r>
        <w:t xml:space="preserve"> </w:t>
      </w:r>
      <w:r>
        <w:t xml:space="preserve">the last two for the city,</w:t>
      </w:r>
      <w:r>
        <w:t xml:space="preserve"> </w:t>
      </w:r>
      <w:r>
        <w:t xml:space="preserve">“</w:t>
      </w:r>
      <w:r>
        <w:t xml:space="preserve">00</w:t>
      </w:r>
      <w:r>
        <w:t xml:space="preserve">”</w:t>
      </w:r>
      <w:r>
        <w:t xml:space="preserve"> </w:t>
      </w:r>
      <w:r>
        <w:t xml:space="preserve">meaning outside any city. That code decides where the local sales tax</w:t>
      </w:r>
      <w:r>
        <w:t xml:space="preserve"> </w:t>
      </w:r>
      <w:r>
        <w:t xml:space="preserve">goes, every month, for as long as the business exists.</w:t>
      </w:r>
      <w:r>
        <w:t xml:space="preserve"> </w:t>
      </w:r>
      <w:r>
        <w:rPr>
          <w:bCs/>
          <w:b/>
        </w:rPr>
        <w:t xml:space="preserve">Nobody at the State ever goes back and checks</w:t>
      </w:r>
      <w:r>
        <w:rPr>
          <w:bCs/>
          <w:b/>
        </w:rPr>
        <w:t xml:space="preserve"> </w:t>
      </w:r>
      <w:r>
        <w:rPr>
          <w:bCs/>
          <w:b/>
        </w:rPr>
        <w:t xml:space="preserve">it against a map.</w:t>
      </w:r>
      <w:r>
        <w:t xml:space="preserve"> </w:t>
      </w:r>
      <w:r>
        <w:t xml:space="preserve">If the address on the form was the mailing address instead of the physical one,</w:t>
      </w:r>
      <w:r>
        <w:t xml:space="preserve"> </w:t>
      </w:r>
      <w:r>
        <w:t xml:space="preserve">or the clerk picked the wrong city, or the city limits moved after the form was filed, the money goes</w:t>
      </w:r>
      <w:r>
        <w:t xml:space="preserve"> </w:t>
      </w:r>
      <w:r>
        <w:t xml:space="preserve">to the wrong government indefinitely — until the government losing it notices and says so.</w:t>
      </w:r>
    </w:p>
    <w:p>
      <w:pPr>
        <w:pStyle w:val="BodyText"/>
      </w:pPr>
      <w:r>
        <w:t xml:space="preserve">The State keeps a map of where each code applies. The State also keeps a list of every business and</w:t>
      </w:r>
      <w:r>
        <w:t xml:space="preserve"> </w:t>
      </w:r>
      <w:r>
        <w:t xml:space="preserve">its code.</w:t>
      </w:r>
      <w:r>
        <w:t xml:space="preserve"> </w:t>
      </w:r>
      <w:r>
        <w:rPr>
          <w:bCs/>
          <w:b/>
        </w:rPr>
        <w:t xml:space="preserve">The State does not compare the two.</w:t>
      </w:r>
      <w:r>
        <w:t xml:space="preserve"> </w:t>
      </w:r>
      <w:r>
        <w:t xml:space="preserve">That comparison is the entire job.</w:t>
      </w:r>
    </w:p>
    <w:bookmarkEnd w:id="20"/>
    <w:bookmarkStart w:id="21" w:name="what-we-can-see-without-the-states-list"/>
    <w:p>
      <w:pPr>
        <w:pStyle w:val="Heading2"/>
      </w:pPr>
      <w:r>
        <w:t xml:space="preserve">What we can see without the State’s list</w:t>
      </w:r>
    </w:p>
    <w:p>
      <w:pPr>
        <w:pStyle w:val="FirstParagraph"/>
      </w:pPr>
      <w:r>
        <w:t xml:space="preserve">The map is public. So is every address in the county (from the 911 district — the people who make sure</w:t>
      </w:r>
      <w:r>
        <w:t xml:space="preserve"> </w:t>
      </w:r>
      <w:r>
        <w:t xml:space="preserve">an ambulance finds your house), every city limit (from the Comptroller), and a second State file that</w:t>
      </w:r>
      <w:r>
        <w:t xml:space="preserve"> </w:t>
      </w:r>
      <w:r>
        <w:t xml:space="preserve">says which code goes with each street and house-number range.</w:t>
      </w:r>
    </w:p>
    <w:p>
      <w:pPr>
        <w:pStyle w:val="BodyText"/>
      </w:pPr>
      <w:r>
        <w:t xml:space="preserve">So before we ever see the State’s list, we already know two things about every business address in the</w:t>
      </w:r>
      <w:r>
        <w:t xml:space="preserve"> </w:t>
      </w:r>
      <w:r>
        <w:t xml:space="preserve">county:</w:t>
      </w:r>
      <w:r>
        <w:t xml:space="preserve"> </w:t>
      </w:r>
      <w:r>
        <w:rPr>
          <w:bCs/>
          <w:b/>
        </w:rPr>
        <w:t xml:space="preserve">which code it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should</w:t>
      </w:r>
      <w:r>
        <w:rPr>
          <w:bCs/>
          <w:b/>
        </w:rPr>
        <w:t xml:space="preserve"> </w:t>
      </w:r>
      <w:r>
        <w:rPr>
          <w:bCs/>
          <w:b/>
        </w:rPr>
        <w:t xml:space="preserve">have</w:t>
      </w:r>
      <w:r>
        <w:t xml:space="preserve">, and</w:t>
      </w:r>
      <w:r>
        <w:t xml:space="preserve"> </w:t>
      </w:r>
      <w:r>
        <w:rPr>
          <w:bCs/>
          <w:b/>
        </w:rPr>
        <w:t xml:space="preserve">how likely it is that the form was filled out wrong.</w:t>
      </w:r>
      <w:r>
        <w:t xml:space="preserve"> </w:t>
      </w:r>
      <w:r>
        <w:t xml:space="preserve">The second part is what the queue ranks.</w:t>
      </w:r>
    </w:p>
    <w:bookmarkEnd w:id="21"/>
    <w:bookmarkStart w:id="22" w:name="X166675ab05998579fb9a95051da6139354a2770"/>
    <w:p>
      <w:pPr>
        <w:pStyle w:val="Heading2"/>
      </w:pPr>
      <w:r>
        <w:t xml:space="preserve">What puts a business in the queue, and why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Cross-county postal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the mailing address says a different county.</w:t>
      </w:r>
      <w:r>
        <w:t xml:space="preserve"> </w:t>
      </w:r>
      <w:r>
        <w:t xml:space="preserve">Old Hickory is a Davidson County post office, but its delivery area runs across the county line into</w:t>
      </w:r>
      <w:r>
        <w:t xml:space="preserve"> </w:t>
      </w:r>
      <w:r>
        <w:t xml:space="preserve">Wilson. A business on Lebanon Road in Mt. Juliet gets its mail addressed</w:t>
      </w:r>
      <w:r>
        <w:t xml:space="preserve"> </w:t>
      </w:r>
      <w:r>
        <w:t xml:space="preserve">“</w:t>
      </w:r>
      <w:r>
        <w:t xml:space="preserve">Old Hickory, TN 37138.</w:t>
      </w:r>
      <w:r>
        <w:t xml:space="preserve">”</w:t>
      </w:r>
      <w:r>
        <w:t xml:space="preserve"> </w:t>
      </w:r>
      <w:r>
        <w:t xml:space="preserve">If</w:t>
      </w:r>
      <w:r>
        <w:t xml:space="preserve"> </w:t>
      </w:r>
      <w:r>
        <w:t xml:space="preserve">that business wrote its mailing address on the sales-tax form — which is what most people write — the</w:t>
      </w:r>
      <w:r>
        <w:t xml:space="preserve"> </w:t>
      </w:r>
      <w:r>
        <w:t xml:space="preserve">State coded it to Davidson County. Wilson County loses the school half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situs half, and no</w:t>
      </w:r>
      <w:r>
        <w:t xml:space="preserve"> </w:t>
      </w:r>
      <w:r>
        <w:t xml:space="preserve">one notices, because the tax rate is the same on both sides of the line and the customer never sees a</w:t>
      </w:r>
      <w:r>
        <w:t xml:space="preserve"> </w:t>
      </w:r>
      <w:r>
        <w:t xml:space="preserve">difference. These are the most expensive errors, so they go first. In Wilson there are 74 named</w:t>
      </w:r>
      <w:r>
        <w:t xml:space="preserve"> </w:t>
      </w:r>
      <w:r>
        <w:t xml:space="preserve">businesses in this situation.</w:t>
      </w:r>
    </w:p>
    <w:p>
      <w:pPr>
        <w:pStyle w:val="BodyText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Coded ≠ measured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the State’s list says one code, the map says another.</w:t>
      </w:r>
      <w:r>
        <w:t xml:space="preserve"> </w:t>
      </w:r>
      <w:r>
        <w:t xml:space="preserve">This one only exists after the situs report arrives. It is the actual finding. Everything else in the</w:t>
      </w:r>
      <w:r>
        <w:t xml:space="preserve"> </w:t>
      </w:r>
      <w:r>
        <w:t xml:space="preserve">queue exists to make sure these get found fast.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Boundary risk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the building is within 250 feet of a line.</w:t>
      </w:r>
      <w:r>
        <w:t xml:space="preserve"> </w:t>
      </w:r>
      <w:r>
        <w:t xml:space="preserve">Not an error. A caution. When a business sits 40 feet from the Lebanon city limit, any map or any</w:t>
      </w:r>
      <w:r>
        <w:t xml:space="preserve"> </w:t>
      </w:r>
      <w:r>
        <w:t xml:space="preserve">address database can put it on the wrong side, including ours. So these are never processed</w:t>
      </w:r>
      <w:r>
        <w:t xml:space="preserve"> </w:t>
      </w:r>
      <w:r>
        <w:t xml:space="preserve">automatically: within 250 feet a person checks every source, and within 50 feet a person has to sign</w:t>
      </w:r>
      <w:r>
        <w:t xml:space="preserve"> </w:t>
      </w:r>
      <w:r>
        <w:t xml:space="preserve">off before anything is submitted. This is the rule that keeps us out of an argument we would lose.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Postal exposure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the mailing address names a city the building isn’t in.</w:t>
      </w:r>
      <w:r>
        <w:t xml:space="preserve"> </w:t>
      </w:r>
      <w:r>
        <w:t xml:space="preserve">Huge parts of unincorporated Wilson County have Lebanon or Mt. Juliet mailing addresses. A business</w:t>
      </w:r>
      <w:r>
        <w:t xml:space="preserve"> </w:t>
      </w:r>
      <w:r>
        <w:t xml:space="preserve">there that wrote its mailing address on the form got coded to the city, and the situs half went to the</w:t>
      </w:r>
      <w:r>
        <w:t xml:space="preserve"> </w:t>
      </w:r>
      <w:r>
        <w:t xml:space="preserve">city instead of the county. This is the biggest group — 431 named businesses in Wilson — but the</w:t>
      </w:r>
      <w:r>
        <w:t xml:space="preserve"> </w:t>
      </w:r>
      <w:r>
        <w:t xml:space="preserve">cheapest kind of error, because only half the tax is at stake and it stays inside the county.</w:t>
      </w:r>
    </w:p>
    <w:p>
      <w:pPr>
        <w:pStyle w:val="BodyText"/>
      </w:pPr>
      <w:r>
        <w:rPr>
          <w:bCs/>
          <w:b/>
        </w:rPr>
        <w:t xml:space="preserve">Everything else</w:t>
      </w:r>
      <w:r>
        <w:t xml:space="preserve"> </w:t>
      </w:r>
      <w:r>
        <w:t xml:space="preserve">is a business whose mailing city, physical location and every official source all</w:t>
      </w:r>
      <w:r>
        <w:t xml:space="preserve"> </w:t>
      </w:r>
      <w:r>
        <w:t xml:space="preserve">agree. They are listed, so nothing is hidden, but they sort last.</w:t>
      </w:r>
    </w:p>
    <w:bookmarkEnd w:id="22"/>
    <w:bookmarkStart w:id="23" w:name="what-the-ranking-is-worth"/>
    <w:p>
      <w:pPr>
        <w:pStyle w:val="Heading2"/>
      </w:pPr>
      <w:r>
        <w:t xml:space="preserve">What the ranking is worth</w:t>
      </w:r>
    </w:p>
    <w:p>
      <w:pPr>
        <w:pStyle w:val="FirstParagraph"/>
      </w:pPr>
      <w:r>
        <w:t xml:space="preserve">Hendersonville publishes its business roster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 State’s codes on it, which let us test the</w:t>
      </w:r>
      <w:r>
        <w:t xml:space="preserve"> </w:t>
      </w:r>
      <w:r>
        <w:t xml:space="preserve">ranking against reality. Of 1,945 businesses we could place on the map, six were coded wrong. The</w:t>
      </w:r>
      <w:r>
        <w:t xml:space="preserve"> </w:t>
      </w:r>
      <w:r>
        <w:t xml:space="preserve">“</w:t>
      </w:r>
      <w:r>
        <w:t xml:space="preserve">postal exposure</w:t>
      </w:r>
      <w:r>
        <w:t xml:space="preserve">”</w:t>
      </w:r>
      <w:r>
        <w:t xml:space="preserve"> </w:t>
      </w:r>
      <w:r>
        <w:t xml:space="preserve">rule flagged sixteen businesses and five of the six wrong ones were among them.</w:t>
      </w:r>
      <w:r>
        <w:t xml:space="preserve"> </w:t>
      </w:r>
      <w:r>
        <w:t xml:space="preserve">The sixth was 123 feet from a city limit and the boundary rule caught it.</w:t>
      </w:r>
      <w:r>
        <w:t xml:space="preserve"> </w:t>
      </w:r>
      <w:r>
        <w:rPr>
          <w:bCs/>
          <w:b/>
        </w:rPr>
        <w:t xml:space="preserve">So reading 64 rows out of</w:t>
      </w:r>
      <w:r>
        <w:rPr>
          <w:bCs/>
          <w:b/>
        </w:rPr>
        <w:t xml:space="preserve"> </w:t>
      </w:r>
      <w:r>
        <w:rPr>
          <w:bCs/>
          <w:b/>
        </w:rPr>
        <w:t xml:space="preserve">1,945 finds all six errors.</w:t>
      </w:r>
      <w:r>
        <w:t xml:space="preserve"> </w:t>
      </w:r>
      <w:r>
        <w:t xml:space="preserve">That is the difference between an audit that takes a day and one that</w:t>
      </w:r>
      <w:r>
        <w:t xml:space="preserve"> </w:t>
      </w:r>
      <w:r>
        <w:t xml:space="preserve">takes a month, and it is what the queue is for.</w:t>
      </w:r>
    </w:p>
    <w:bookmarkEnd w:id="23"/>
    <w:bookmarkStart w:id="24" w:name="what-is-not-in-the-queue-on-purpose"/>
    <w:p>
      <w:pPr>
        <w:pStyle w:val="Heading2"/>
      </w:pPr>
      <w:r>
        <w:t xml:space="preserve">What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 the queue, on purpose</w:t>
      </w:r>
    </w:p>
    <w:p>
      <w:pPr>
        <w:pStyle w:val="FirstParagraph"/>
      </w:pPr>
      <w:r>
        <w:t xml:space="preserve">The county’s 911 district labels things on its map that are not businesses — subdivisions, lot</w:t>
      </w:r>
      <w:r>
        <w:t xml:space="preserve"> </w:t>
      </w:r>
      <w:r>
        <w:t xml:space="preserve">numbers, pump stations, churches, schools. Those are shown on the map so nothing is hidden, but they</w:t>
      </w:r>
      <w:r>
        <w:t xml:space="preserve"> </w:t>
      </w:r>
      <w:r>
        <w:t xml:space="preserve">never appear as an audit item. An audit the county has to stand behind cannot contain a row called</w:t>
      </w:r>
      <w:r>
        <w:t xml:space="preserve"> </w:t>
      </w:r>
      <w:r>
        <w:t xml:space="preserve">“</w:t>
      </w:r>
      <w:r>
        <w:t xml:space="preserve">Lot 19.</w:t>
      </w:r>
      <w:r>
        <w:t xml:space="preserve">”</w:t>
      </w:r>
    </w:p>
    <w:bookmarkEnd w:id="24"/>
    <w:bookmarkStart w:id="25" w:name="X59be40eda124228e11fa6249f3602bece19e647"/>
    <w:p>
      <w:pPr>
        <w:pStyle w:val="Heading2"/>
      </w:pPr>
      <w:r>
        <w:t xml:space="preserve">One thing we can prove today, without the State’s list</w:t>
      </w:r>
    </w:p>
    <w:p>
      <w:pPr>
        <w:pStyle w:val="FirstParagraph"/>
      </w:pPr>
      <w:r>
        <w:t xml:space="preserve">The State publishes the map, and it publishes the street-by-street code file. They should agree.</w:t>
      </w:r>
      <w:r>
        <w:t xml:space="preserve"> </w:t>
      </w:r>
      <w:r>
        <w:t xml:space="preserve">On 12,691 Wilson County addresses they don’t — and not by a few feet; every one of these is more than</w:t>
      </w:r>
      <w:r>
        <w:t xml:space="preserve"> </w:t>
      </w:r>
      <w:r>
        <w:t xml:space="preserve">250 feet from any boundary. Gaston Park Drive in Lebanon is a good example: the street file says the</w:t>
      </w:r>
      <w:r>
        <w:t xml:space="preserve"> </w:t>
      </w:r>
      <w:r>
        <w:t xml:space="preserve">whole street is unincorporated county; the map, the Comptroller and the 911 district all say it is</w:t>
      </w:r>
      <w:r>
        <w:t xml:space="preserve"> </w:t>
      </w:r>
      <w:r>
        <w:t xml:space="preserve">inside Lebanon. The street file is what online sellers and marketplaces use to decide where your local</w:t>
      </w:r>
      <w:r>
        <w:t xml:space="preserve"> </w:t>
      </w:r>
      <w:r>
        <w:t xml:space="preserve">tax goes when they ship to that address. Every online sale to Gaston Park Drive is being allocated to</w:t>
      </w:r>
      <w:r>
        <w:t xml:space="preserve"> </w:t>
      </w:r>
      <w:r>
        <w:t xml:space="preserve">the county instead of the city. In Wilson the direction runs about three-to-one in the county’s</w:t>
      </w:r>
      <w:r>
        <w:t xml:space="preserve"> </w:t>
      </w:r>
      <w:r>
        <w:t xml:space="preserve">favour. That is a finding about the State’s own data, and it can be shown to the Department now.</w:t>
      </w:r>
    </w:p>
    <w:bookmarkEnd w:id="25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Queue Works — In Plain English</dc:title>
  <dc:creator>Civvix Inc.</dc:creator>
  <cp:keywords/>
  <dcterms:created xsi:type="dcterms:W3CDTF">2026-09-13T01:43:28Z</dcterms:created>
  <dcterms:modified xsi:type="dcterms:W3CDTF">2026-09-13T01:43:28Z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